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030" w:rsidRPr="00703D7C" w:rsidRDefault="00A74FC2">
      <w:pPr>
        <w:rPr>
          <w:b/>
          <w:sz w:val="28"/>
          <w:lang w:val="af-ZA"/>
        </w:rPr>
      </w:pPr>
      <w:r w:rsidRPr="00703D7C">
        <w:rPr>
          <w:b/>
          <w:sz w:val="28"/>
          <w:lang w:val="af-ZA"/>
        </w:rPr>
        <w:t>BEGROTING-VERWANTE BELEIDE VIR 2014/15</w:t>
      </w:r>
    </w:p>
    <w:p w:rsidR="00A74FC2" w:rsidRPr="00703D7C" w:rsidRDefault="00A74FC2" w:rsidP="00A74FC2">
      <w:pPr>
        <w:jc w:val="both"/>
        <w:rPr>
          <w:sz w:val="24"/>
          <w:lang w:val="af-ZA"/>
        </w:rPr>
      </w:pPr>
      <w:r w:rsidRPr="00703D7C">
        <w:rPr>
          <w:sz w:val="24"/>
          <w:lang w:val="af-ZA"/>
        </w:rPr>
        <w:t>In terme van die begrotingsregulasies moet munisipaliteite jaarliks sekere begroting-verwante beleide nagaan en hersien, indien nodig.</w:t>
      </w:r>
      <w:r w:rsidR="00703D7C">
        <w:rPr>
          <w:sz w:val="24"/>
          <w:lang w:val="af-ZA"/>
        </w:rPr>
        <w:t xml:space="preserve"> (Vir oudit doeleindes word die aangeleentheid in Engels hanteer).</w:t>
      </w:r>
    </w:p>
    <w:p w:rsidR="00A74FC2" w:rsidRPr="00703D7C" w:rsidRDefault="00C76A73" w:rsidP="00A74FC2">
      <w:pPr>
        <w:jc w:val="both"/>
        <w:rPr>
          <w:sz w:val="24"/>
        </w:rPr>
      </w:pPr>
      <w:r>
        <w:rPr>
          <w:sz w:val="24"/>
        </w:rPr>
        <w:t>The following p</w:t>
      </w:r>
      <w:r w:rsidR="00703D7C" w:rsidRPr="00703D7C">
        <w:rPr>
          <w:sz w:val="24"/>
        </w:rPr>
        <w:t>olicies are in place and ha</w:t>
      </w:r>
      <w:r>
        <w:rPr>
          <w:sz w:val="24"/>
        </w:rPr>
        <w:t>ve</w:t>
      </w:r>
      <w:r w:rsidR="00703D7C" w:rsidRPr="00703D7C">
        <w:rPr>
          <w:sz w:val="24"/>
        </w:rPr>
        <w:t xml:space="preserve"> been </w:t>
      </w:r>
      <w:r w:rsidR="00703D7C">
        <w:rPr>
          <w:sz w:val="24"/>
        </w:rPr>
        <w:t>approved by Council.</w:t>
      </w:r>
      <w:r w:rsidR="000126A0" w:rsidRPr="00703D7C">
        <w:rPr>
          <w:sz w:val="24"/>
        </w:rPr>
        <w:t xml:space="preserve"> </w:t>
      </w:r>
      <w:r w:rsidR="0013026C">
        <w:rPr>
          <w:sz w:val="24"/>
        </w:rPr>
        <w:t>No revision of these policies is necessary f</w:t>
      </w:r>
      <w:r>
        <w:rPr>
          <w:sz w:val="24"/>
        </w:rPr>
        <w:t>or 2014/15</w:t>
      </w:r>
      <w:r w:rsidR="000126A0" w:rsidRPr="00703D7C">
        <w:rPr>
          <w:sz w:val="24"/>
        </w:rPr>
        <w:t>:</w:t>
      </w:r>
    </w:p>
    <w:p w:rsidR="000126A0" w:rsidRPr="00703D7C" w:rsidRDefault="00703D7C" w:rsidP="001603C3">
      <w:pPr>
        <w:pStyle w:val="ListParagraph"/>
        <w:numPr>
          <w:ilvl w:val="0"/>
          <w:numId w:val="1"/>
        </w:numPr>
        <w:spacing w:after="80"/>
        <w:ind w:left="714" w:hanging="357"/>
        <w:contextualSpacing w:val="0"/>
        <w:jc w:val="both"/>
        <w:rPr>
          <w:sz w:val="24"/>
        </w:rPr>
      </w:pPr>
      <w:r w:rsidRPr="00703D7C">
        <w:rPr>
          <w:sz w:val="24"/>
        </w:rPr>
        <w:t>Tariff Policy;</w:t>
      </w:r>
    </w:p>
    <w:p w:rsidR="000126A0" w:rsidRPr="00703D7C" w:rsidRDefault="00703D7C" w:rsidP="001603C3">
      <w:pPr>
        <w:pStyle w:val="ListParagraph"/>
        <w:numPr>
          <w:ilvl w:val="0"/>
          <w:numId w:val="1"/>
        </w:numPr>
        <w:spacing w:after="80"/>
        <w:ind w:left="714" w:hanging="357"/>
        <w:contextualSpacing w:val="0"/>
        <w:jc w:val="both"/>
        <w:rPr>
          <w:sz w:val="24"/>
        </w:rPr>
      </w:pPr>
      <w:r w:rsidRPr="00703D7C">
        <w:rPr>
          <w:sz w:val="24"/>
        </w:rPr>
        <w:t>Rates Policy;</w:t>
      </w:r>
    </w:p>
    <w:p w:rsidR="00703D7C" w:rsidRPr="00703D7C" w:rsidRDefault="00703D7C" w:rsidP="001603C3">
      <w:pPr>
        <w:pStyle w:val="ListParagraph"/>
        <w:numPr>
          <w:ilvl w:val="0"/>
          <w:numId w:val="1"/>
        </w:numPr>
        <w:spacing w:after="80"/>
        <w:ind w:left="714" w:hanging="357"/>
        <w:contextualSpacing w:val="0"/>
        <w:jc w:val="both"/>
        <w:rPr>
          <w:sz w:val="24"/>
        </w:rPr>
      </w:pPr>
      <w:r w:rsidRPr="00703D7C">
        <w:rPr>
          <w:sz w:val="24"/>
        </w:rPr>
        <w:t>Banking, Cash Management and Investment Policy;</w:t>
      </w:r>
    </w:p>
    <w:p w:rsidR="00703D7C" w:rsidRPr="00703D7C" w:rsidRDefault="00703D7C" w:rsidP="001603C3">
      <w:pPr>
        <w:pStyle w:val="ListParagraph"/>
        <w:numPr>
          <w:ilvl w:val="0"/>
          <w:numId w:val="1"/>
        </w:numPr>
        <w:spacing w:after="80"/>
        <w:ind w:left="714" w:hanging="357"/>
        <w:contextualSpacing w:val="0"/>
        <w:jc w:val="both"/>
        <w:rPr>
          <w:sz w:val="24"/>
        </w:rPr>
      </w:pPr>
      <w:r w:rsidRPr="00703D7C">
        <w:rPr>
          <w:sz w:val="24"/>
        </w:rPr>
        <w:t>Supply Chain Management Policy;</w:t>
      </w:r>
    </w:p>
    <w:p w:rsidR="00703D7C" w:rsidRPr="00703D7C" w:rsidRDefault="00703D7C" w:rsidP="001603C3">
      <w:pPr>
        <w:pStyle w:val="ListParagraph"/>
        <w:numPr>
          <w:ilvl w:val="0"/>
          <w:numId w:val="1"/>
        </w:numPr>
        <w:spacing w:after="80"/>
        <w:ind w:left="714" w:hanging="357"/>
        <w:contextualSpacing w:val="0"/>
        <w:jc w:val="both"/>
        <w:rPr>
          <w:sz w:val="24"/>
        </w:rPr>
      </w:pPr>
      <w:r w:rsidRPr="00703D7C">
        <w:rPr>
          <w:sz w:val="24"/>
        </w:rPr>
        <w:t>Asset Management Policy;</w:t>
      </w:r>
    </w:p>
    <w:p w:rsidR="00703D7C" w:rsidRPr="00703D7C" w:rsidRDefault="00703D7C" w:rsidP="001603C3">
      <w:pPr>
        <w:pStyle w:val="ListParagraph"/>
        <w:numPr>
          <w:ilvl w:val="0"/>
          <w:numId w:val="1"/>
        </w:numPr>
        <w:spacing w:after="80"/>
        <w:ind w:left="714" w:hanging="357"/>
        <w:contextualSpacing w:val="0"/>
        <w:jc w:val="both"/>
        <w:rPr>
          <w:sz w:val="24"/>
        </w:rPr>
      </w:pPr>
      <w:r w:rsidRPr="00703D7C">
        <w:rPr>
          <w:sz w:val="24"/>
        </w:rPr>
        <w:t>Indigent Policy;</w:t>
      </w:r>
      <w:r w:rsidR="0013026C">
        <w:rPr>
          <w:sz w:val="24"/>
        </w:rPr>
        <w:t xml:space="preserve"> and</w:t>
      </w:r>
    </w:p>
    <w:p w:rsidR="00703D7C" w:rsidRPr="00703D7C" w:rsidRDefault="0013026C" w:rsidP="000126A0">
      <w:pPr>
        <w:pStyle w:val="ListParagraph"/>
        <w:numPr>
          <w:ilvl w:val="0"/>
          <w:numId w:val="1"/>
        </w:numPr>
        <w:jc w:val="both"/>
        <w:rPr>
          <w:sz w:val="24"/>
        </w:rPr>
      </w:pPr>
      <w:r w:rsidRPr="00703D7C">
        <w:rPr>
          <w:sz w:val="24"/>
        </w:rPr>
        <w:t>Subsistence</w:t>
      </w:r>
      <w:r w:rsidR="00703D7C" w:rsidRPr="00703D7C">
        <w:rPr>
          <w:sz w:val="24"/>
        </w:rPr>
        <w:t xml:space="preserve"> and Travelling Policy</w:t>
      </w:r>
      <w:r>
        <w:rPr>
          <w:sz w:val="24"/>
        </w:rPr>
        <w:t>.</w:t>
      </w:r>
      <w:r w:rsidR="00703D7C" w:rsidRPr="00703D7C">
        <w:rPr>
          <w:sz w:val="24"/>
        </w:rPr>
        <w:t xml:space="preserve"> </w:t>
      </w:r>
    </w:p>
    <w:p w:rsidR="00422AD5" w:rsidRDefault="0013026C" w:rsidP="00A74FC2">
      <w:pPr>
        <w:jc w:val="both"/>
        <w:rPr>
          <w:sz w:val="24"/>
        </w:rPr>
      </w:pPr>
      <w:r>
        <w:rPr>
          <w:sz w:val="24"/>
        </w:rPr>
        <w:t xml:space="preserve">The only </w:t>
      </w:r>
      <w:r w:rsidR="00422AD5">
        <w:rPr>
          <w:sz w:val="24"/>
        </w:rPr>
        <w:t xml:space="preserve">existing </w:t>
      </w:r>
      <w:r>
        <w:rPr>
          <w:sz w:val="24"/>
        </w:rPr>
        <w:t>policy that</w:t>
      </w:r>
      <w:r w:rsidR="00422AD5">
        <w:rPr>
          <w:sz w:val="24"/>
        </w:rPr>
        <w:t xml:space="preserve"> needs revision is the Credit Control and Debt Collection Policy. The following changes to the policy are recommended:</w:t>
      </w:r>
    </w:p>
    <w:tbl>
      <w:tblPr>
        <w:tblStyle w:val="TableGrid"/>
        <w:tblW w:w="0" w:type="auto"/>
        <w:tblLook w:val="04A0"/>
      </w:tblPr>
      <w:tblGrid>
        <w:gridCol w:w="4774"/>
        <w:gridCol w:w="4774"/>
      </w:tblGrid>
      <w:tr w:rsidR="00FE1EB5" w:rsidTr="00A76BFC">
        <w:tc>
          <w:tcPr>
            <w:tcW w:w="4774" w:type="dxa"/>
            <w:tcBorders>
              <w:bottom w:val="single" w:sz="4" w:space="0" w:color="auto"/>
            </w:tcBorders>
            <w:shd w:val="clear" w:color="auto" w:fill="D9D9D9" w:themeFill="background1" w:themeFillShade="D9"/>
          </w:tcPr>
          <w:p w:rsidR="00FE1EB5" w:rsidRPr="00FE1EB5" w:rsidRDefault="00FE1EB5" w:rsidP="00FE1EB5">
            <w:pPr>
              <w:spacing w:before="60" w:after="60"/>
              <w:jc w:val="both"/>
              <w:rPr>
                <w:b/>
                <w:sz w:val="24"/>
              </w:rPr>
            </w:pPr>
            <w:r w:rsidRPr="00FE1EB5">
              <w:rPr>
                <w:b/>
                <w:sz w:val="24"/>
              </w:rPr>
              <w:t>CURRENT POLICY</w:t>
            </w:r>
          </w:p>
        </w:tc>
        <w:tc>
          <w:tcPr>
            <w:tcW w:w="4774" w:type="dxa"/>
            <w:tcBorders>
              <w:bottom w:val="single" w:sz="4" w:space="0" w:color="auto"/>
            </w:tcBorders>
            <w:shd w:val="clear" w:color="auto" w:fill="D9D9D9" w:themeFill="background1" w:themeFillShade="D9"/>
          </w:tcPr>
          <w:p w:rsidR="00FE1EB5" w:rsidRPr="00FE1EB5" w:rsidRDefault="00FE1EB5" w:rsidP="00FE1EB5">
            <w:pPr>
              <w:spacing w:before="60" w:after="60"/>
              <w:jc w:val="both"/>
              <w:rPr>
                <w:b/>
                <w:sz w:val="24"/>
              </w:rPr>
            </w:pPr>
            <w:r w:rsidRPr="00FE1EB5">
              <w:rPr>
                <w:b/>
                <w:sz w:val="24"/>
              </w:rPr>
              <w:t>RECOMMENDED ALTERATIONS</w:t>
            </w:r>
          </w:p>
        </w:tc>
      </w:tr>
      <w:tr w:rsidR="00DB7D19" w:rsidTr="00DB7D19">
        <w:tc>
          <w:tcPr>
            <w:tcW w:w="4774" w:type="dxa"/>
            <w:tcBorders>
              <w:top w:val="single" w:sz="4" w:space="0" w:color="auto"/>
              <w:bottom w:val="nil"/>
            </w:tcBorders>
          </w:tcPr>
          <w:p w:rsidR="00DB7D19" w:rsidRPr="00DB7D19" w:rsidRDefault="00DB7D19" w:rsidP="00DB7D19">
            <w:pPr>
              <w:pStyle w:val="Heading1"/>
              <w:keepLines w:val="0"/>
              <w:spacing w:before="120" w:after="120"/>
              <w:outlineLvl w:val="0"/>
              <w:rPr>
                <w:rFonts w:asciiTheme="minorHAnsi" w:hAnsiTheme="minorHAnsi"/>
                <w:color w:val="auto"/>
                <w:sz w:val="24"/>
              </w:rPr>
            </w:pPr>
            <w:bookmarkStart w:id="0" w:name="_Toc37137249"/>
            <w:bookmarkStart w:id="1" w:name="_Toc37233340"/>
            <w:bookmarkStart w:id="2" w:name="_Toc37233686"/>
            <w:bookmarkStart w:id="3" w:name="_Toc37233728"/>
            <w:r>
              <w:rPr>
                <w:rFonts w:asciiTheme="minorHAnsi" w:hAnsiTheme="minorHAnsi"/>
                <w:color w:val="auto"/>
                <w:sz w:val="24"/>
              </w:rPr>
              <w:t xml:space="preserve">6.   </w:t>
            </w:r>
            <w:r w:rsidRPr="00DB7D19">
              <w:rPr>
                <w:rFonts w:asciiTheme="minorHAnsi" w:hAnsiTheme="minorHAnsi"/>
                <w:color w:val="auto"/>
                <w:sz w:val="24"/>
              </w:rPr>
              <w:t>CREDIT CONTROL POLICY</w:t>
            </w:r>
            <w:bookmarkEnd w:id="0"/>
            <w:bookmarkEnd w:id="1"/>
            <w:bookmarkEnd w:id="2"/>
            <w:bookmarkEnd w:id="3"/>
          </w:p>
        </w:tc>
        <w:tc>
          <w:tcPr>
            <w:tcW w:w="4774" w:type="dxa"/>
            <w:tcBorders>
              <w:top w:val="single" w:sz="4" w:space="0" w:color="auto"/>
              <w:bottom w:val="nil"/>
            </w:tcBorders>
          </w:tcPr>
          <w:p w:rsidR="00DB7D19" w:rsidRPr="00DB7D19" w:rsidRDefault="00DB7D19" w:rsidP="005D3FCD">
            <w:pPr>
              <w:pStyle w:val="Heading1"/>
              <w:keepLines w:val="0"/>
              <w:spacing w:before="120" w:after="120"/>
              <w:outlineLvl w:val="0"/>
              <w:rPr>
                <w:rFonts w:asciiTheme="minorHAnsi" w:hAnsiTheme="minorHAnsi"/>
                <w:color w:val="auto"/>
                <w:sz w:val="24"/>
              </w:rPr>
            </w:pPr>
          </w:p>
        </w:tc>
      </w:tr>
      <w:tr w:rsidR="00454316" w:rsidTr="001603C3">
        <w:tc>
          <w:tcPr>
            <w:tcW w:w="9548" w:type="dxa"/>
            <w:gridSpan w:val="2"/>
            <w:tcBorders>
              <w:top w:val="nil"/>
              <w:bottom w:val="nil"/>
            </w:tcBorders>
          </w:tcPr>
          <w:p w:rsidR="00454316" w:rsidRPr="00A5310C" w:rsidRDefault="00454316" w:rsidP="00F95958">
            <w:pPr>
              <w:pStyle w:val="Heading3"/>
              <w:tabs>
                <w:tab w:val="left" w:pos="709"/>
                <w:tab w:val="left" w:pos="990"/>
              </w:tabs>
              <w:spacing w:before="120" w:after="120" w:line="288" w:lineRule="auto"/>
              <w:ind w:left="1418" w:hanging="1418"/>
              <w:jc w:val="both"/>
              <w:outlineLvl w:val="2"/>
              <w:rPr>
                <w:rFonts w:asciiTheme="minorHAnsi" w:hAnsiTheme="minorHAnsi"/>
                <w:b/>
                <w:i/>
              </w:rPr>
            </w:pPr>
            <w:r w:rsidRPr="00A5310C">
              <w:rPr>
                <w:rFonts w:asciiTheme="minorHAnsi" w:hAnsiTheme="minorHAnsi"/>
                <w:b/>
                <w:i/>
              </w:rPr>
              <w:t>6.3</w:t>
            </w:r>
            <w:r w:rsidRPr="00A5310C">
              <w:rPr>
                <w:rFonts w:asciiTheme="minorHAnsi" w:hAnsiTheme="minorHAnsi"/>
                <w:b/>
                <w:i/>
              </w:rPr>
              <w:tab/>
              <w:t>Disconnection of service(s)</w:t>
            </w:r>
          </w:p>
          <w:p w:rsidR="00454316" w:rsidRPr="00A76BFC" w:rsidRDefault="00454316" w:rsidP="00F95958">
            <w:pPr>
              <w:tabs>
                <w:tab w:val="left" w:pos="284"/>
              </w:tabs>
              <w:spacing w:before="120" w:after="120" w:line="288" w:lineRule="auto"/>
              <w:ind w:left="284"/>
              <w:jc w:val="both"/>
            </w:pPr>
            <w:r>
              <w:t xml:space="preserve">Apart from certain changes in the policy, as indicated below, sub-paragraph (d) of the current policy moves to sub-paragraph (a). Therefore sub-paragraph (d) moves up to be included before sub-paragraph (a) below, for easy comparison. </w:t>
            </w:r>
          </w:p>
        </w:tc>
      </w:tr>
      <w:tr w:rsidR="001603C3" w:rsidTr="00774E67">
        <w:tc>
          <w:tcPr>
            <w:tcW w:w="4774" w:type="dxa"/>
            <w:tcBorders>
              <w:top w:val="nil"/>
              <w:bottom w:val="nil"/>
            </w:tcBorders>
          </w:tcPr>
          <w:p w:rsidR="001603C3" w:rsidRPr="00A5310C" w:rsidRDefault="001603C3" w:rsidP="00F95958">
            <w:pPr>
              <w:pStyle w:val="Heading3"/>
              <w:tabs>
                <w:tab w:val="left" w:pos="709"/>
                <w:tab w:val="left" w:pos="990"/>
              </w:tabs>
              <w:spacing w:before="60" w:line="288" w:lineRule="auto"/>
              <w:ind w:left="993" w:hanging="709"/>
              <w:jc w:val="both"/>
              <w:outlineLvl w:val="2"/>
              <w:rPr>
                <w:rFonts w:asciiTheme="minorHAnsi" w:hAnsiTheme="minorHAnsi"/>
                <w:b/>
                <w:i/>
              </w:rPr>
            </w:pPr>
            <w:r>
              <w:rPr>
                <w:sz w:val="22"/>
              </w:rPr>
              <w:t>(d</w:t>
            </w:r>
            <w:r w:rsidRPr="00AB279A">
              <w:rPr>
                <w:sz w:val="22"/>
              </w:rPr>
              <w:t>)</w:t>
            </w:r>
            <w:r>
              <w:rPr>
                <w:sz w:val="22"/>
              </w:rPr>
              <w:tab/>
            </w:r>
            <w:r w:rsidRPr="00AB279A">
              <w:rPr>
                <w:sz w:val="22"/>
              </w:rPr>
              <w:tab/>
              <w:t>Council reserves the right to deny or restrict the sale of electricity or water to customers who are in arrears with their rates or other municipal charges.</w:t>
            </w:r>
          </w:p>
        </w:tc>
        <w:tc>
          <w:tcPr>
            <w:tcW w:w="4774" w:type="dxa"/>
            <w:tcBorders>
              <w:top w:val="nil"/>
              <w:bottom w:val="nil"/>
            </w:tcBorders>
          </w:tcPr>
          <w:p w:rsidR="001603C3" w:rsidRPr="00EE6FDE" w:rsidRDefault="001603C3" w:rsidP="00F95958">
            <w:pPr>
              <w:tabs>
                <w:tab w:val="left" w:pos="990"/>
              </w:tabs>
              <w:spacing w:before="60" w:after="60" w:line="288" w:lineRule="auto"/>
              <w:ind w:left="993" w:hanging="709"/>
              <w:jc w:val="both"/>
              <w:rPr>
                <w:rFonts w:ascii="Arial" w:hAnsi="Arial"/>
              </w:rPr>
            </w:pPr>
            <w:r>
              <w:rPr>
                <w:rFonts w:ascii="Arial" w:hAnsi="Arial"/>
              </w:rPr>
              <w:t>(a</w:t>
            </w:r>
            <w:r w:rsidRPr="00AB279A">
              <w:rPr>
                <w:rFonts w:ascii="Arial" w:hAnsi="Arial"/>
              </w:rPr>
              <w:t>)</w:t>
            </w:r>
            <w:r>
              <w:rPr>
                <w:rFonts w:ascii="Arial" w:hAnsi="Arial"/>
              </w:rPr>
              <w:tab/>
            </w:r>
            <w:r w:rsidRPr="00AB279A">
              <w:rPr>
                <w:rFonts w:ascii="Arial" w:hAnsi="Arial"/>
              </w:rPr>
              <w:tab/>
              <w:t>Council reserves the right to deny or restrict the sale of electricity or water to customers who are in arrears with their rates or other municipal charges.</w:t>
            </w:r>
          </w:p>
        </w:tc>
      </w:tr>
      <w:tr w:rsidR="00774E67" w:rsidTr="002A3066">
        <w:tc>
          <w:tcPr>
            <w:tcW w:w="4774" w:type="dxa"/>
            <w:tcBorders>
              <w:top w:val="nil"/>
            </w:tcBorders>
          </w:tcPr>
          <w:p w:rsidR="00774E67" w:rsidRPr="00774E67" w:rsidRDefault="00774E67" w:rsidP="00F95958">
            <w:pPr>
              <w:tabs>
                <w:tab w:val="left" w:pos="990"/>
              </w:tabs>
              <w:spacing w:before="60" w:after="60" w:line="288" w:lineRule="auto"/>
              <w:ind w:left="993" w:hanging="709"/>
              <w:jc w:val="both"/>
            </w:pPr>
            <w:r w:rsidRPr="00A5310C">
              <w:t>(a)</w:t>
            </w:r>
            <w:r w:rsidRPr="00A5310C">
              <w:tab/>
            </w:r>
            <w:r w:rsidRPr="00A5310C">
              <w:tab/>
              <w:t>Customers who are in arrears with their municipal account(s) and who have not made arrangements with the municipality will have their supply of electricity and water, and other municipal services, suspended or disconnected.</w:t>
            </w:r>
          </w:p>
        </w:tc>
        <w:tc>
          <w:tcPr>
            <w:tcW w:w="4774" w:type="dxa"/>
            <w:tcBorders>
              <w:top w:val="nil"/>
            </w:tcBorders>
          </w:tcPr>
          <w:p w:rsidR="00774E67" w:rsidRDefault="00774E67" w:rsidP="00F95958">
            <w:pPr>
              <w:tabs>
                <w:tab w:val="left" w:pos="990"/>
              </w:tabs>
              <w:spacing w:before="60" w:after="60" w:line="288" w:lineRule="auto"/>
              <w:ind w:left="993" w:hanging="709"/>
              <w:jc w:val="both"/>
              <w:rPr>
                <w:rFonts w:ascii="Arial" w:hAnsi="Arial"/>
              </w:rPr>
            </w:pPr>
            <w:r w:rsidRPr="00A5310C">
              <w:t>(</w:t>
            </w:r>
            <w:r>
              <w:t>b</w:t>
            </w:r>
            <w:r w:rsidRPr="00A5310C">
              <w:t>)</w:t>
            </w:r>
            <w:r w:rsidRPr="00A5310C">
              <w:tab/>
            </w:r>
            <w:r w:rsidRPr="00A5310C">
              <w:tab/>
              <w:t>Customers who are in arrears with their municipal account(s)</w:t>
            </w:r>
            <w:r>
              <w:t xml:space="preserve">, </w:t>
            </w:r>
            <w:r w:rsidRPr="00A76BFC">
              <w:rPr>
                <w:highlight w:val="lightGray"/>
              </w:rPr>
              <w:t>with an amount of more than R 1000,00 (One thousand rand)</w:t>
            </w:r>
            <w:r w:rsidRPr="00A5310C">
              <w:t xml:space="preserve"> and who have not made arrangements with the </w:t>
            </w:r>
            <w:r w:rsidRPr="00A76BFC">
              <w:t xml:space="preserve">municipality will have their supply of electricity </w:t>
            </w:r>
            <w:r w:rsidRPr="00A76BFC">
              <w:rPr>
                <w:dstrike/>
                <w:highlight w:val="lightGray"/>
              </w:rPr>
              <w:t>and water, and other municipal services</w:t>
            </w:r>
            <w:r w:rsidRPr="00A76BFC">
              <w:rPr>
                <w:highlight w:val="lightGray"/>
              </w:rPr>
              <w:t>,</w:t>
            </w:r>
            <w:r w:rsidRPr="00A76BFC">
              <w:t xml:space="preserve"> suspended or disconnected.</w:t>
            </w:r>
          </w:p>
        </w:tc>
      </w:tr>
    </w:tbl>
    <w:p w:rsidR="00454316" w:rsidRPr="00703D7C" w:rsidRDefault="00454316" w:rsidP="00A74FC2">
      <w:pPr>
        <w:jc w:val="both"/>
        <w:rPr>
          <w:sz w:val="24"/>
        </w:rPr>
      </w:pPr>
    </w:p>
    <w:tbl>
      <w:tblPr>
        <w:tblStyle w:val="TableGrid"/>
        <w:tblW w:w="0" w:type="auto"/>
        <w:tblLook w:val="04A0"/>
      </w:tblPr>
      <w:tblGrid>
        <w:gridCol w:w="4774"/>
        <w:gridCol w:w="4774"/>
      </w:tblGrid>
      <w:tr w:rsidR="00A5310C" w:rsidTr="00DB7D19">
        <w:tc>
          <w:tcPr>
            <w:tcW w:w="4774" w:type="dxa"/>
            <w:tcBorders>
              <w:bottom w:val="single" w:sz="4" w:space="0" w:color="auto"/>
            </w:tcBorders>
            <w:shd w:val="clear" w:color="auto" w:fill="D9D9D9" w:themeFill="background1" w:themeFillShade="D9"/>
          </w:tcPr>
          <w:p w:rsidR="00A5310C" w:rsidRPr="00FE1EB5" w:rsidRDefault="00A5310C" w:rsidP="005D3FCD">
            <w:pPr>
              <w:spacing w:before="60" w:after="60"/>
              <w:jc w:val="both"/>
              <w:rPr>
                <w:b/>
                <w:sz w:val="24"/>
              </w:rPr>
            </w:pPr>
            <w:r w:rsidRPr="00FE1EB5">
              <w:rPr>
                <w:b/>
                <w:sz w:val="24"/>
              </w:rPr>
              <w:lastRenderedPageBreak/>
              <w:t>CURRENT POLICY</w:t>
            </w:r>
          </w:p>
        </w:tc>
        <w:tc>
          <w:tcPr>
            <w:tcW w:w="4774" w:type="dxa"/>
            <w:tcBorders>
              <w:bottom w:val="single" w:sz="4" w:space="0" w:color="auto"/>
            </w:tcBorders>
            <w:shd w:val="clear" w:color="auto" w:fill="D9D9D9" w:themeFill="background1" w:themeFillShade="D9"/>
          </w:tcPr>
          <w:p w:rsidR="00A5310C" w:rsidRPr="00FE1EB5" w:rsidRDefault="00A5310C" w:rsidP="005D3FCD">
            <w:pPr>
              <w:spacing w:before="60" w:after="60"/>
              <w:jc w:val="both"/>
              <w:rPr>
                <w:b/>
                <w:sz w:val="24"/>
              </w:rPr>
            </w:pPr>
            <w:r w:rsidRPr="00FE1EB5">
              <w:rPr>
                <w:b/>
                <w:sz w:val="24"/>
              </w:rPr>
              <w:t>RECOMMENDED ALTERATIONS</w:t>
            </w:r>
          </w:p>
        </w:tc>
      </w:tr>
      <w:tr w:rsidR="00335234" w:rsidTr="00DB7D19">
        <w:tc>
          <w:tcPr>
            <w:tcW w:w="4774" w:type="dxa"/>
            <w:tcBorders>
              <w:top w:val="nil"/>
            </w:tcBorders>
          </w:tcPr>
          <w:p w:rsidR="00335234" w:rsidRPr="00DB7D19" w:rsidRDefault="00335234" w:rsidP="00F95958">
            <w:pPr>
              <w:tabs>
                <w:tab w:val="left" w:pos="990"/>
              </w:tabs>
              <w:spacing w:before="120" w:after="120" w:line="288" w:lineRule="auto"/>
              <w:ind w:left="993" w:hanging="709"/>
              <w:jc w:val="both"/>
              <w:rPr>
                <w:rFonts w:ascii="Arial" w:hAnsi="Arial"/>
              </w:rPr>
            </w:pPr>
            <w:r>
              <w:rPr>
                <w:rFonts w:ascii="Arial" w:hAnsi="Arial"/>
              </w:rPr>
              <w:t>(b)</w:t>
            </w:r>
            <w:r>
              <w:rPr>
                <w:rFonts w:ascii="Arial" w:hAnsi="Arial"/>
              </w:rPr>
              <w:tab/>
            </w:r>
            <w:r>
              <w:rPr>
                <w:rFonts w:ascii="Arial" w:hAnsi="Arial"/>
              </w:rPr>
              <w:tab/>
              <w:t>When the municipality plans to cut services of certain clients with overdue accounts, each of them shall be notified of the intention to cut their services.</w:t>
            </w:r>
          </w:p>
        </w:tc>
        <w:tc>
          <w:tcPr>
            <w:tcW w:w="4774" w:type="dxa"/>
            <w:tcBorders>
              <w:top w:val="nil"/>
            </w:tcBorders>
          </w:tcPr>
          <w:p w:rsidR="00335234" w:rsidRPr="00DB7D19" w:rsidRDefault="006715CA" w:rsidP="00F95958">
            <w:pPr>
              <w:tabs>
                <w:tab w:val="left" w:pos="990"/>
              </w:tabs>
              <w:spacing w:before="120" w:after="120" w:line="288" w:lineRule="auto"/>
              <w:ind w:left="993" w:hanging="709"/>
              <w:jc w:val="both"/>
              <w:rPr>
                <w:rFonts w:ascii="Arial" w:hAnsi="Arial"/>
              </w:rPr>
            </w:pPr>
            <w:r>
              <w:rPr>
                <w:rFonts w:ascii="Arial" w:hAnsi="Arial"/>
              </w:rPr>
              <w:t>(c</w:t>
            </w:r>
            <w:r w:rsidR="00335234">
              <w:rPr>
                <w:rFonts w:ascii="Arial" w:hAnsi="Arial"/>
              </w:rPr>
              <w:t>)</w:t>
            </w:r>
            <w:r w:rsidR="00335234">
              <w:rPr>
                <w:rFonts w:ascii="Arial" w:hAnsi="Arial"/>
              </w:rPr>
              <w:tab/>
            </w:r>
            <w:r w:rsidR="00335234">
              <w:rPr>
                <w:rFonts w:ascii="Arial" w:hAnsi="Arial"/>
              </w:rPr>
              <w:tab/>
              <w:t>When the municipality plans to cut services of certain clients with overdue accounts, each of them shall be notified of the intention to cut their services.</w:t>
            </w:r>
          </w:p>
        </w:tc>
      </w:tr>
      <w:tr w:rsidR="00335234" w:rsidTr="005D3FCD">
        <w:tc>
          <w:tcPr>
            <w:tcW w:w="4774" w:type="dxa"/>
          </w:tcPr>
          <w:p w:rsidR="00335234" w:rsidRPr="00EE6FDE" w:rsidRDefault="00335234" w:rsidP="00F95958">
            <w:pPr>
              <w:tabs>
                <w:tab w:val="left" w:pos="990"/>
              </w:tabs>
              <w:spacing w:before="120" w:after="120" w:line="288" w:lineRule="auto"/>
              <w:ind w:left="993" w:hanging="709"/>
              <w:jc w:val="both"/>
              <w:rPr>
                <w:rFonts w:ascii="Arial" w:hAnsi="Arial"/>
              </w:rPr>
            </w:pPr>
            <w:r>
              <w:rPr>
                <w:rFonts w:ascii="Arial" w:hAnsi="Arial"/>
              </w:rPr>
              <w:t>(c</w:t>
            </w:r>
            <w:r w:rsidRPr="00AB279A">
              <w:rPr>
                <w:rFonts w:ascii="Arial" w:hAnsi="Arial"/>
              </w:rPr>
              <w:t>)</w:t>
            </w:r>
            <w:r>
              <w:rPr>
                <w:rFonts w:ascii="Arial" w:hAnsi="Arial"/>
              </w:rPr>
              <w:tab/>
            </w:r>
            <w:r>
              <w:rPr>
                <w:rFonts w:ascii="Arial" w:hAnsi="Arial"/>
              </w:rPr>
              <w:tab/>
              <w:t>Such notification will indicate the planned date to cut the service and will notify the clients that they have the opportunity to make arrangements with the municipality, within 7 working days, in order to prevent the municipality to cut the service</w:t>
            </w:r>
            <w:r w:rsidRPr="00AB279A">
              <w:rPr>
                <w:rFonts w:ascii="Arial" w:hAnsi="Arial"/>
              </w:rPr>
              <w:t xml:space="preserve">.  </w:t>
            </w:r>
          </w:p>
        </w:tc>
        <w:tc>
          <w:tcPr>
            <w:tcW w:w="4774" w:type="dxa"/>
          </w:tcPr>
          <w:p w:rsidR="00335234" w:rsidRPr="00EE6FDE" w:rsidRDefault="006715CA" w:rsidP="00F95958">
            <w:pPr>
              <w:tabs>
                <w:tab w:val="left" w:pos="990"/>
              </w:tabs>
              <w:spacing w:before="120" w:after="120" w:line="288" w:lineRule="auto"/>
              <w:ind w:left="993" w:hanging="709"/>
              <w:jc w:val="both"/>
              <w:rPr>
                <w:rFonts w:ascii="Arial" w:hAnsi="Arial"/>
              </w:rPr>
            </w:pPr>
            <w:r>
              <w:rPr>
                <w:rFonts w:ascii="Arial" w:hAnsi="Arial"/>
              </w:rPr>
              <w:t>(d</w:t>
            </w:r>
            <w:r w:rsidR="00335234" w:rsidRPr="00AB279A">
              <w:rPr>
                <w:rFonts w:ascii="Arial" w:hAnsi="Arial"/>
              </w:rPr>
              <w:t>)</w:t>
            </w:r>
            <w:r w:rsidR="00335234">
              <w:rPr>
                <w:rFonts w:ascii="Arial" w:hAnsi="Arial"/>
              </w:rPr>
              <w:tab/>
            </w:r>
            <w:r w:rsidR="00335234">
              <w:rPr>
                <w:rFonts w:ascii="Arial" w:hAnsi="Arial"/>
              </w:rPr>
              <w:tab/>
              <w:t>Such notification will indicate the planned date to cut the service and will notify the clients that they have the opportunity to make arrangements with the municipality, within 7 working days, in order to prevent the municipality to cut the service</w:t>
            </w:r>
            <w:r w:rsidR="00335234" w:rsidRPr="00AB279A">
              <w:rPr>
                <w:rFonts w:ascii="Arial" w:hAnsi="Arial"/>
              </w:rPr>
              <w:t xml:space="preserve">.  </w:t>
            </w:r>
          </w:p>
        </w:tc>
      </w:tr>
      <w:tr w:rsidR="006715CA" w:rsidTr="00561AFE">
        <w:tc>
          <w:tcPr>
            <w:tcW w:w="4774" w:type="dxa"/>
          </w:tcPr>
          <w:p w:rsidR="006715CA" w:rsidRPr="00EE6FDE" w:rsidRDefault="006715CA" w:rsidP="00F95958">
            <w:pPr>
              <w:tabs>
                <w:tab w:val="left" w:pos="990"/>
              </w:tabs>
              <w:spacing w:before="120" w:after="120" w:line="288" w:lineRule="auto"/>
              <w:ind w:left="993" w:hanging="709"/>
              <w:jc w:val="both"/>
              <w:rPr>
                <w:rFonts w:ascii="Arial" w:hAnsi="Arial"/>
              </w:rPr>
            </w:pPr>
            <w:r>
              <w:rPr>
                <w:rFonts w:ascii="Arial" w:hAnsi="Arial"/>
              </w:rPr>
              <w:t>(e</w:t>
            </w:r>
            <w:r w:rsidRPr="00AB279A">
              <w:rPr>
                <w:rFonts w:ascii="Arial" w:hAnsi="Arial"/>
              </w:rPr>
              <w:t>)</w:t>
            </w:r>
            <w:r>
              <w:rPr>
                <w:rFonts w:ascii="Arial" w:hAnsi="Arial"/>
              </w:rPr>
              <w:tab/>
            </w:r>
            <w:r w:rsidRPr="00AB279A">
              <w:rPr>
                <w:rFonts w:ascii="Arial" w:hAnsi="Arial"/>
              </w:rPr>
              <w:tab/>
              <w:t>Upon the liquidation of arrears, or the conclusion of acceptable arrangements, the service will be reconnected as soon as conveniently possible.</w:t>
            </w:r>
          </w:p>
        </w:tc>
        <w:tc>
          <w:tcPr>
            <w:tcW w:w="4774" w:type="dxa"/>
            <w:shd w:val="clear" w:color="auto" w:fill="auto"/>
          </w:tcPr>
          <w:p w:rsidR="006715CA" w:rsidRPr="00EE6FDE" w:rsidRDefault="006715CA" w:rsidP="00F95958">
            <w:pPr>
              <w:tabs>
                <w:tab w:val="left" w:pos="990"/>
              </w:tabs>
              <w:spacing w:before="120" w:after="120" w:line="288" w:lineRule="auto"/>
              <w:ind w:left="993" w:hanging="709"/>
              <w:jc w:val="both"/>
              <w:rPr>
                <w:rFonts w:ascii="Arial" w:hAnsi="Arial"/>
              </w:rPr>
            </w:pPr>
            <w:r>
              <w:rPr>
                <w:rFonts w:ascii="Arial" w:hAnsi="Arial"/>
              </w:rPr>
              <w:t>(e</w:t>
            </w:r>
            <w:r w:rsidRPr="00AB279A">
              <w:rPr>
                <w:rFonts w:ascii="Arial" w:hAnsi="Arial"/>
              </w:rPr>
              <w:t>)</w:t>
            </w:r>
            <w:r>
              <w:rPr>
                <w:rFonts w:ascii="Arial" w:hAnsi="Arial"/>
              </w:rPr>
              <w:tab/>
            </w:r>
            <w:r w:rsidRPr="00AB279A">
              <w:rPr>
                <w:rFonts w:ascii="Arial" w:hAnsi="Arial"/>
              </w:rPr>
              <w:tab/>
              <w:t xml:space="preserve">Upon </w:t>
            </w:r>
            <w:r w:rsidRPr="00561AFE">
              <w:rPr>
                <w:rFonts w:ascii="Arial" w:hAnsi="Arial"/>
                <w:dstrike/>
                <w:highlight w:val="lightGray"/>
              </w:rPr>
              <w:t>the liquidation of arrears, or the conclusion of acceptable arrangements</w:t>
            </w:r>
            <w:r w:rsidRPr="00AB279A">
              <w:rPr>
                <w:rFonts w:ascii="Arial" w:hAnsi="Arial"/>
              </w:rPr>
              <w:t xml:space="preserve">, </w:t>
            </w:r>
            <w:r w:rsidR="00561AFE" w:rsidRPr="00561AFE">
              <w:rPr>
                <w:rFonts w:ascii="Arial" w:hAnsi="Arial"/>
                <w:highlight w:val="lightGray"/>
              </w:rPr>
              <w:t xml:space="preserve">payment of all costs related to reconnections, </w:t>
            </w:r>
            <w:r w:rsidR="00042B6B">
              <w:rPr>
                <w:rFonts w:ascii="Arial" w:hAnsi="Arial"/>
                <w:highlight w:val="lightGray"/>
              </w:rPr>
              <w:t>plus</w:t>
            </w:r>
            <w:r w:rsidR="00561AFE" w:rsidRPr="00561AFE">
              <w:rPr>
                <w:rFonts w:ascii="Arial" w:hAnsi="Arial"/>
                <w:highlight w:val="lightGray"/>
              </w:rPr>
              <w:t xml:space="preserve"> the total bill of the current month and at least 5% of outstanding amounts</w:t>
            </w:r>
            <w:r w:rsidR="00042B6B">
              <w:rPr>
                <w:rFonts w:ascii="Arial" w:hAnsi="Arial"/>
                <w:highlight w:val="lightGray"/>
              </w:rPr>
              <w:t>, as well as making acceptable arrangements for the payment of the outstanding amount</w:t>
            </w:r>
            <w:r w:rsidR="00561AFE" w:rsidRPr="00561AFE">
              <w:rPr>
                <w:rFonts w:ascii="Arial" w:hAnsi="Arial"/>
                <w:highlight w:val="lightGray"/>
              </w:rPr>
              <w:t>,</w:t>
            </w:r>
            <w:r w:rsidR="00561AFE">
              <w:rPr>
                <w:rFonts w:ascii="Arial" w:hAnsi="Arial"/>
              </w:rPr>
              <w:t xml:space="preserve"> </w:t>
            </w:r>
            <w:r w:rsidRPr="00AB279A">
              <w:rPr>
                <w:rFonts w:ascii="Arial" w:hAnsi="Arial"/>
              </w:rPr>
              <w:t>the service will be reconnected as soon as conveniently possible.</w:t>
            </w:r>
          </w:p>
        </w:tc>
      </w:tr>
      <w:tr w:rsidR="006715CA" w:rsidTr="005D3FCD">
        <w:tc>
          <w:tcPr>
            <w:tcW w:w="4774" w:type="dxa"/>
          </w:tcPr>
          <w:p w:rsidR="006715CA" w:rsidRDefault="006715CA" w:rsidP="00F95958">
            <w:pPr>
              <w:tabs>
                <w:tab w:val="left" w:pos="990"/>
              </w:tabs>
              <w:spacing w:before="120" w:after="120" w:line="288" w:lineRule="auto"/>
              <w:ind w:left="993" w:hanging="709"/>
              <w:jc w:val="both"/>
              <w:rPr>
                <w:rFonts w:ascii="Arial" w:hAnsi="Arial"/>
              </w:rPr>
            </w:pPr>
            <w:r>
              <w:rPr>
                <w:rFonts w:ascii="Arial" w:hAnsi="Arial"/>
              </w:rPr>
              <w:t xml:space="preserve">(f)   </w:t>
            </w:r>
            <w:r w:rsidRPr="004C2251">
              <w:rPr>
                <w:rFonts w:ascii="Arial" w:hAnsi="Arial"/>
              </w:rPr>
              <w:t xml:space="preserve">All costs related to notices, the restrictions or </w:t>
            </w:r>
            <w:proofErr w:type="spellStart"/>
            <w:r w:rsidRPr="004C2251">
              <w:rPr>
                <w:rFonts w:ascii="Arial" w:hAnsi="Arial"/>
              </w:rPr>
              <w:t>dis</w:t>
            </w:r>
            <w:proofErr w:type="spellEnd"/>
            <w:r w:rsidRPr="004C2251">
              <w:rPr>
                <w:rFonts w:ascii="Arial" w:hAnsi="Arial"/>
              </w:rPr>
              <w:t>- and reconnect</w:t>
            </w:r>
            <w:r>
              <w:rPr>
                <w:rFonts w:ascii="Arial" w:hAnsi="Arial"/>
              </w:rPr>
              <w:t>-</w:t>
            </w:r>
            <w:r w:rsidRPr="004C2251">
              <w:rPr>
                <w:rFonts w:ascii="Arial" w:hAnsi="Arial"/>
              </w:rPr>
              <w:t xml:space="preserve">ions, will be determined by tariffs approved by the </w:t>
            </w:r>
            <w:r>
              <w:rPr>
                <w:rFonts w:ascii="Arial" w:hAnsi="Arial"/>
              </w:rPr>
              <w:t>M</w:t>
            </w:r>
            <w:r w:rsidRPr="004C2251">
              <w:rPr>
                <w:rFonts w:ascii="Arial" w:hAnsi="Arial"/>
              </w:rPr>
              <w:t>unicipal Council, and will be payable by the customer.</w:t>
            </w:r>
          </w:p>
        </w:tc>
        <w:tc>
          <w:tcPr>
            <w:tcW w:w="4774" w:type="dxa"/>
          </w:tcPr>
          <w:p w:rsidR="006715CA" w:rsidRDefault="006715CA" w:rsidP="00F95958">
            <w:pPr>
              <w:tabs>
                <w:tab w:val="left" w:pos="990"/>
              </w:tabs>
              <w:spacing w:before="120" w:after="120" w:line="288" w:lineRule="auto"/>
              <w:ind w:left="993" w:hanging="709"/>
              <w:jc w:val="both"/>
              <w:rPr>
                <w:rFonts w:ascii="Arial" w:hAnsi="Arial"/>
              </w:rPr>
            </w:pPr>
            <w:r>
              <w:rPr>
                <w:rFonts w:ascii="Arial" w:hAnsi="Arial"/>
              </w:rPr>
              <w:t xml:space="preserve">(f)   </w:t>
            </w:r>
            <w:r w:rsidRPr="004C2251">
              <w:rPr>
                <w:rFonts w:ascii="Arial" w:hAnsi="Arial"/>
              </w:rPr>
              <w:t xml:space="preserve">All costs related to notices, the restrictions or </w:t>
            </w:r>
            <w:proofErr w:type="spellStart"/>
            <w:r w:rsidRPr="004C2251">
              <w:rPr>
                <w:rFonts w:ascii="Arial" w:hAnsi="Arial"/>
              </w:rPr>
              <w:t>dis</w:t>
            </w:r>
            <w:proofErr w:type="spellEnd"/>
            <w:r w:rsidRPr="004C2251">
              <w:rPr>
                <w:rFonts w:ascii="Arial" w:hAnsi="Arial"/>
              </w:rPr>
              <w:t>- and reconnect</w:t>
            </w:r>
            <w:r>
              <w:rPr>
                <w:rFonts w:ascii="Arial" w:hAnsi="Arial"/>
              </w:rPr>
              <w:t>-</w:t>
            </w:r>
            <w:r w:rsidRPr="004C2251">
              <w:rPr>
                <w:rFonts w:ascii="Arial" w:hAnsi="Arial"/>
              </w:rPr>
              <w:t xml:space="preserve">ions, will be determined by tariffs approved by the </w:t>
            </w:r>
            <w:r>
              <w:rPr>
                <w:rFonts w:ascii="Arial" w:hAnsi="Arial"/>
              </w:rPr>
              <w:t>M</w:t>
            </w:r>
            <w:r w:rsidRPr="004C2251">
              <w:rPr>
                <w:rFonts w:ascii="Arial" w:hAnsi="Arial"/>
              </w:rPr>
              <w:t>unicipal Council, and will be payable by the customer.</w:t>
            </w:r>
          </w:p>
        </w:tc>
      </w:tr>
      <w:tr w:rsidR="00774E67" w:rsidTr="005D3FCD">
        <w:tc>
          <w:tcPr>
            <w:tcW w:w="4774" w:type="dxa"/>
          </w:tcPr>
          <w:p w:rsidR="00774E67" w:rsidRDefault="00774E67" w:rsidP="00F95958">
            <w:pPr>
              <w:spacing w:before="120" w:after="120" w:line="288" w:lineRule="auto"/>
              <w:ind w:left="993" w:hanging="709"/>
              <w:jc w:val="both"/>
              <w:rPr>
                <w:rFonts w:ascii="Arial" w:hAnsi="Arial"/>
              </w:rPr>
            </w:pPr>
            <w:r>
              <w:rPr>
                <w:rFonts w:ascii="Arial" w:hAnsi="Arial"/>
              </w:rPr>
              <w:t xml:space="preserve">(g)    </w:t>
            </w:r>
            <w:r w:rsidRPr="00EE6FDE">
              <w:rPr>
                <w:rFonts w:ascii="Arial" w:hAnsi="Arial"/>
              </w:rPr>
              <w:t>The deposit of any defaulter will be adjusted and brought into line with the policy and tariff structure of the municipality.</w:t>
            </w:r>
          </w:p>
        </w:tc>
        <w:tc>
          <w:tcPr>
            <w:tcW w:w="4774" w:type="dxa"/>
          </w:tcPr>
          <w:p w:rsidR="00774E67" w:rsidRDefault="00774E67" w:rsidP="00F95958">
            <w:pPr>
              <w:spacing w:before="120" w:after="120" w:line="288" w:lineRule="auto"/>
              <w:ind w:left="993" w:hanging="709"/>
              <w:jc w:val="both"/>
              <w:rPr>
                <w:rFonts w:ascii="Arial" w:hAnsi="Arial"/>
              </w:rPr>
            </w:pPr>
            <w:r>
              <w:rPr>
                <w:rFonts w:ascii="Arial" w:hAnsi="Arial"/>
              </w:rPr>
              <w:t xml:space="preserve">(g)    </w:t>
            </w:r>
            <w:r w:rsidRPr="00EE6FDE">
              <w:rPr>
                <w:rFonts w:ascii="Arial" w:hAnsi="Arial"/>
              </w:rPr>
              <w:t>The deposit of any defaulter will be adjusted and brought into line with the policy and tariff structure of the municipality.</w:t>
            </w:r>
          </w:p>
        </w:tc>
      </w:tr>
    </w:tbl>
    <w:p w:rsidR="00A74FC2" w:rsidRDefault="00A74FC2" w:rsidP="00A74FC2">
      <w:pPr>
        <w:jc w:val="both"/>
        <w:rPr>
          <w:sz w:val="24"/>
          <w:lang w:val="af-ZA"/>
        </w:rPr>
      </w:pPr>
    </w:p>
    <w:p w:rsidR="00774E67" w:rsidRDefault="00774E67" w:rsidP="00A74FC2">
      <w:pPr>
        <w:jc w:val="both"/>
        <w:rPr>
          <w:sz w:val="24"/>
          <w:lang w:val="af-ZA"/>
        </w:rPr>
      </w:pPr>
    </w:p>
    <w:p w:rsidR="00774E67" w:rsidRDefault="00774E67" w:rsidP="00A74FC2">
      <w:pPr>
        <w:jc w:val="both"/>
        <w:rPr>
          <w:sz w:val="24"/>
          <w:lang w:val="af-ZA"/>
        </w:rPr>
      </w:pPr>
    </w:p>
    <w:p w:rsidR="00774E67" w:rsidRDefault="00774E67" w:rsidP="00A74FC2">
      <w:pPr>
        <w:jc w:val="both"/>
        <w:rPr>
          <w:sz w:val="24"/>
          <w:lang w:val="af-ZA"/>
        </w:rPr>
      </w:pPr>
    </w:p>
    <w:tbl>
      <w:tblPr>
        <w:tblStyle w:val="TableGrid"/>
        <w:tblW w:w="0" w:type="auto"/>
        <w:tblLook w:val="04A0"/>
      </w:tblPr>
      <w:tblGrid>
        <w:gridCol w:w="4774"/>
        <w:gridCol w:w="4774"/>
      </w:tblGrid>
      <w:tr w:rsidR="00774E67" w:rsidTr="002A3FB9">
        <w:tc>
          <w:tcPr>
            <w:tcW w:w="4774" w:type="dxa"/>
            <w:tcBorders>
              <w:bottom w:val="single" w:sz="4" w:space="0" w:color="auto"/>
            </w:tcBorders>
            <w:shd w:val="clear" w:color="auto" w:fill="D9D9D9" w:themeFill="background1" w:themeFillShade="D9"/>
          </w:tcPr>
          <w:p w:rsidR="00774E67" w:rsidRPr="00FE1EB5" w:rsidRDefault="00774E67" w:rsidP="002A3FB9">
            <w:pPr>
              <w:spacing w:before="60" w:after="60"/>
              <w:jc w:val="both"/>
              <w:rPr>
                <w:b/>
                <w:sz w:val="24"/>
              </w:rPr>
            </w:pPr>
            <w:r w:rsidRPr="00FE1EB5">
              <w:rPr>
                <w:b/>
                <w:sz w:val="24"/>
              </w:rPr>
              <w:lastRenderedPageBreak/>
              <w:t>CURRENT POLICY</w:t>
            </w:r>
          </w:p>
        </w:tc>
        <w:tc>
          <w:tcPr>
            <w:tcW w:w="4774" w:type="dxa"/>
            <w:tcBorders>
              <w:bottom w:val="single" w:sz="4" w:space="0" w:color="auto"/>
            </w:tcBorders>
            <w:shd w:val="clear" w:color="auto" w:fill="D9D9D9" w:themeFill="background1" w:themeFillShade="D9"/>
          </w:tcPr>
          <w:p w:rsidR="00774E67" w:rsidRPr="00FE1EB5" w:rsidRDefault="00774E67" w:rsidP="002A3FB9">
            <w:pPr>
              <w:spacing w:before="60" w:after="60"/>
              <w:jc w:val="both"/>
              <w:rPr>
                <w:b/>
                <w:sz w:val="24"/>
              </w:rPr>
            </w:pPr>
            <w:r w:rsidRPr="00FE1EB5">
              <w:rPr>
                <w:b/>
                <w:sz w:val="24"/>
              </w:rPr>
              <w:t>RECOMMENDED ALTERATIONS</w:t>
            </w:r>
          </w:p>
        </w:tc>
      </w:tr>
      <w:tr w:rsidR="00774E67" w:rsidTr="002A3FB9">
        <w:tc>
          <w:tcPr>
            <w:tcW w:w="4774" w:type="dxa"/>
            <w:tcBorders>
              <w:bottom w:val="nil"/>
            </w:tcBorders>
          </w:tcPr>
          <w:p w:rsidR="00774E67" w:rsidRPr="00DB7D19" w:rsidRDefault="00774E67" w:rsidP="002A3FB9">
            <w:pPr>
              <w:pStyle w:val="Heading1"/>
              <w:keepLines w:val="0"/>
              <w:spacing w:before="120" w:after="120"/>
              <w:outlineLvl w:val="0"/>
              <w:rPr>
                <w:rFonts w:asciiTheme="minorHAnsi" w:hAnsiTheme="minorHAnsi"/>
                <w:color w:val="auto"/>
                <w:sz w:val="24"/>
              </w:rPr>
            </w:pPr>
            <w:r>
              <w:rPr>
                <w:rFonts w:asciiTheme="minorHAnsi" w:hAnsiTheme="minorHAnsi"/>
                <w:color w:val="auto"/>
                <w:sz w:val="24"/>
              </w:rPr>
              <w:t xml:space="preserve">6.   </w:t>
            </w:r>
            <w:r w:rsidRPr="00DB7D19">
              <w:rPr>
                <w:rFonts w:asciiTheme="minorHAnsi" w:hAnsiTheme="minorHAnsi"/>
                <w:color w:val="auto"/>
                <w:sz w:val="24"/>
              </w:rPr>
              <w:t>CREDIT CONTROL POLICY</w:t>
            </w:r>
            <w:r>
              <w:rPr>
                <w:rFonts w:asciiTheme="minorHAnsi" w:hAnsiTheme="minorHAnsi"/>
                <w:color w:val="auto"/>
                <w:sz w:val="24"/>
              </w:rPr>
              <w:t xml:space="preserve"> (Continued)</w:t>
            </w:r>
          </w:p>
        </w:tc>
        <w:tc>
          <w:tcPr>
            <w:tcW w:w="4774" w:type="dxa"/>
            <w:tcBorders>
              <w:bottom w:val="nil"/>
            </w:tcBorders>
          </w:tcPr>
          <w:p w:rsidR="00774E67" w:rsidRPr="00DB7D19" w:rsidRDefault="00774E67" w:rsidP="002A3FB9">
            <w:pPr>
              <w:pStyle w:val="Heading1"/>
              <w:keepLines w:val="0"/>
              <w:spacing w:before="120" w:after="120"/>
              <w:outlineLvl w:val="0"/>
              <w:rPr>
                <w:rFonts w:asciiTheme="minorHAnsi" w:hAnsiTheme="minorHAnsi"/>
                <w:color w:val="auto"/>
                <w:sz w:val="24"/>
              </w:rPr>
            </w:pPr>
            <w:r>
              <w:rPr>
                <w:rFonts w:asciiTheme="minorHAnsi" w:hAnsiTheme="minorHAnsi"/>
                <w:color w:val="auto"/>
                <w:sz w:val="24"/>
              </w:rPr>
              <w:t xml:space="preserve">6.   </w:t>
            </w:r>
            <w:r w:rsidRPr="00DB7D19">
              <w:rPr>
                <w:rFonts w:asciiTheme="minorHAnsi" w:hAnsiTheme="minorHAnsi"/>
                <w:color w:val="auto"/>
                <w:sz w:val="24"/>
              </w:rPr>
              <w:t>CREDIT CONTROL POLICY</w:t>
            </w:r>
            <w:r>
              <w:rPr>
                <w:rFonts w:asciiTheme="minorHAnsi" w:hAnsiTheme="minorHAnsi"/>
                <w:color w:val="auto"/>
                <w:sz w:val="24"/>
              </w:rPr>
              <w:t xml:space="preserve"> (Continued)</w:t>
            </w:r>
          </w:p>
        </w:tc>
      </w:tr>
      <w:tr w:rsidR="00774E67" w:rsidTr="002A3FB9">
        <w:tc>
          <w:tcPr>
            <w:tcW w:w="4774" w:type="dxa"/>
            <w:tcBorders>
              <w:top w:val="nil"/>
            </w:tcBorders>
          </w:tcPr>
          <w:p w:rsidR="00774E67" w:rsidRPr="00DB7D19" w:rsidRDefault="00774E67" w:rsidP="00F95958">
            <w:pPr>
              <w:pStyle w:val="Heading1"/>
              <w:spacing w:before="120" w:after="200" w:line="288" w:lineRule="auto"/>
              <w:ind w:left="360" w:hanging="360"/>
              <w:outlineLvl w:val="0"/>
              <w:rPr>
                <w:rFonts w:asciiTheme="minorHAnsi" w:hAnsiTheme="minorHAnsi"/>
                <w:i/>
                <w:color w:val="auto"/>
                <w:sz w:val="24"/>
              </w:rPr>
            </w:pPr>
            <w:r w:rsidRPr="00DB7D19">
              <w:rPr>
                <w:rFonts w:asciiTheme="minorHAnsi" w:hAnsiTheme="minorHAnsi"/>
                <w:i/>
                <w:color w:val="auto"/>
                <w:sz w:val="24"/>
              </w:rPr>
              <w:t>6.5</w:t>
            </w:r>
            <w:r w:rsidRPr="00DB7D19">
              <w:rPr>
                <w:rFonts w:asciiTheme="minorHAnsi" w:hAnsiTheme="minorHAnsi"/>
                <w:i/>
                <w:color w:val="auto"/>
                <w:sz w:val="24"/>
              </w:rPr>
              <w:tab/>
            </w:r>
            <w:r w:rsidRPr="00DB7D19">
              <w:rPr>
                <w:rFonts w:asciiTheme="minorHAnsi" w:hAnsiTheme="minorHAnsi"/>
                <w:i/>
                <w:color w:val="auto"/>
                <w:sz w:val="24"/>
              </w:rPr>
              <w:tab/>
              <w:t>The Pre-payment System</w:t>
            </w:r>
          </w:p>
          <w:p w:rsidR="00774E67" w:rsidRPr="00AB279A" w:rsidRDefault="00774E67" w:rsidP="00F95958">
            <w:pPr>
              <w:spacing w:before="120" w:after="200" w:line="288" w:lineRule="auto"/>
              <w:ind w:left="993" w:hanging="709"/>
              <w:jc w:val="both"/>
              <w:rPr>
                <w:rFonts w:ascii="Arial" w:hAnsi="Arial"/>
              </w:rPr>
            </w:pPr>
            <w:r>
              <w:rPr>
                <w:rFonts w:ascii="Arial" w:hAnsi="Arial"/>
              </w:rPr>
              <w:t>(a</w:t>
            </w:r>
            <w:r w:rsidRPr="00AB279A">
              <w:rPr>
                <w:rFonts w:ascii="Arial" w:hAnsi="Arial"/>
              </w:rPr>
              <w:t xml:space="preserve">)   </w:t>
            </w:r>
            <w:r>
              <w:rPr>
                <w:rFonts w:ascii="Arial" w:hAnsi="Arial"/>
              </w:rPr>
              <w:tab/>
            </w:r>
            <w:r w:rsidRPr="00AB279A">
              <w:rPr>
                <w:rFonts w:ascii="Arial" w:hAnsi="Arial"/>
              </w:rPr>
              <w:t>The municipality may use its pre-payment system to recover arrears in respect of accrued municipal taxes and other municipal levies, tariffs and duties in respect of services such as water, refuse removal, sanitation and sewerage.</w:t>
            </w:r>
          </w:p>
          <w:p w:rsidR="00774E67" w:rsidRPr="00DB7D19" w:rsidRDefault="00774E67" w:rsidP="00F95958">
            <w:pPr>
              <w:spacing w:before="120" w:after="240" w:line="288" w:lineRule="auto"/>
              <w:ind w:left="993" w:hanging="709"/>
              <w:jc w:val="both"/>
              <w:rPr>
                <w:rFonts w:ascii="Arial" w:hAnsi="Arial"/>
              </w:rPr>
            </w:pPr>
            <w:r>
              <w:rPr>
                <w:rFonts w:ascii="Arial" w:hAnsi="Arial"/>
              </w:rPr>
              <w:t>(b</w:t>
            </w:r>
            <w:r w:rsidRPr="00AB279A">
              <w:rPr>
                <w:rFonts w:ascii="Arial" w:hAnsi="Arial"/>
              </w:rPr>
              <w:t xml:space="preserve">)    </w:t>
            </w:r>
            <w:r>
              <w:rPr>
                <w:rFonts w:ascii="Arial" w:hAnsi="Arial"/>
              </w:rPr>
              <w:tab/>
            </w:r>
            <w:r w:rsidRPr="00AB279A">
              <w:rPr>
                <w:rFonts w:ascii="Arial" w:hAnsi="Arial"/>
              </w:rPr>
              <w:t>A customer with arrears, who applies for a pre-payment meter, will be required to repay all arrears in full before a pre-payment electricity meter is installed or, if the amount outstanding is large and/or the customer’s ability to pay is limited the arrears can be repaid by allocating 50% of all purchases before any electricity credit is given.</w:t>
            </w:r>
          </w:p>
        </w:tc>
        <w:tc>
          <w:tcPr>
            <w:tcW w:w="4774" w:type="dxa"/>
            <w:tcBorders>
              <w:top w:val="nil"/>
            </w:tcBorders>
          </w:tcPr>
          <w:p w:rsidR="00774E67" w:rsidRPr="00DB7D19" w:rsidRDefault="00774E67" w:rsidP="00F95958">
            <w:pPr>
              <w:pStyle w:val="Heading1"/>
              <w:spacing w:before="120" w:after="200" w:line="288" w:lineRule="auto"/>
              <w:ind w:left="360" w:hanging="360"/>
              <w:outlineLvl w:val="0"/>
              <w:rPr>
                <w:rFonts w:asciiTheme="minorHAnsi" w:hAnsiTheme="minorHAnsi"/>
                <w:i/>
                <w:color w:val="auto"/>
                <w:sz w:val="24"/>
              </w:rPr>
            </w:pPr>
            <w:r w:rsidRPr="00DB7D19">
              <w:rPr>
                <w:rFonts w:asciiTheme="minorHAnsi" w:hAnsiTheme="minorHAnsi"/>
                <w:i/>
                <w:color w:val="auto"/>
                <w:sz w:val="24"/>
              </w:rPr>
              <w:t>6.5</w:t>
            </w:r>
            <w:r w:rsidRPr="00DB7D19">
              <w:rPr>
                <w:rFonts w:asciiTheme="minorHAnsi" w:hAnsiTheme="minorHAnsi"/>
                <w:i/>
                <w:color w:val="auto"/>
                <w:sz w:val="24"/>
              </w:rPr>
              <w:tab/>
            </w:r>
            <w:r w:rsidRPr="00DB7D19">
              <w:rPr>
                <w:rFonts w:asciiTheme="minorHAnsi" w:hAnsiTheme="minorHAnsi"/>
                <w:i/>
                <w:color w:val="auto"/>
                <w:sz w:val="24"/>
              </w:rPr>
              <w:tab/>
              <w:t>The Pre-payment System</w:t>
            </w:r>
          </w:p>
          <w:p w:rsidR="00774E67" w:rsidRPr="00AB279A" w:rsidRDefault="00774E67" w:rsidP="00F95958">
            <w:pPr>
              <w:spacing w:before="120" w:after="200" w:line="288" w:lineRule="auto"/>
              <w:ind w:left="993" w:hanging="709"/>
              <w:jc w:val="both"/>
              <w:rPr>
                <w:rFonts w:ascii="Arial" w:hAnsi="Arial"/>
              </w:rPr>
            </w:pPr>
            <w:r>
              <w:rPr>
                <w:rFonts w:ascii="Arial" w:hAnsi="Arial"/>
              </w:rPr>
              <w:t>(a</w:t>
            </w:r>
            <w:r w:rsidRPr="00AB279A">
              <w:rPr>
                <w:rFonts w:ascii="Arial" w:hAnsi="Arial"/>
              </w:rPr>
              <w:t xml:space="preserve">)   </w:t>
            </w:r>
            <w:r>
              <w:rPr>
                <w:rFonts w:ascii="Arial" w:hAnsi="Arial"/>
              </w:rPr>
              <w:tab/>
            </w:r>
            <w:r w:rsidRPr="00AB279A">
              <w:rPr>
                <w:rFonts w:ascii="Arial" w:hAnsi="Arial"/>
              </w:rPr>
              <w:t>The municipality may use its pre-payment system to recover arrears in respect of accrued municipal taxes and other municipal levies, tariffs and duties in respect of services such as water, refuse removal, sanitation and sewerage.</w:t>
            </w:r>
          </w:p>
          <w:p w:rsidR="00774E67" w:rsidRPr="00DB7D19" w:rsidRDefault="00774E67" w:rsidP="00F95958">
            <w:pPr>
              <w:spacing w:before="120" w:after="240" w:line="288" w:lineRule="auto"/>
              <w:ind w:left="993" w:hanging="709"/>
              <w:jc w:val="both"/>
              <w:rPr>
                <w:rFonts w:ascii="Arial" w:hAnsi="Arial"/>
              </w:rPr>
            </w:pPr>
            <w:r w:rsidRPr="00DB7D19">
              <w:rPr>
                <w:rFonts w:ascii="Arial" w:hAnsi="Arial"/>
                <w:dstrike/>
              </w:rPr>
              <w:t>(b)</w:t>
            </w:r>
            <w:r w:rsidRPr="00AB279A">
              <w:rPr>
                <w:rFonts w:ascii="Arial" w:hAnsi="Arial"/>
              </w:rPr>
              <w:t xml:space="preserve">    </w:t>
            </w:r>
            <w:r>
              <w:rPr>
                <w:rFonts w:ascii="Arial" w:hAnsi="Arial"/>
              </w:rPr>
              <w:tab/>
            </w:r>
            <w:r w:rsidRPr="00DB7D19">
              <w:rPr>
                <w:rFonts w:ascii="Arial" w:hAnsi="Arial"/>
                <w:dstrike/>
                <w:shd w:val="clear" w:color="auto" w:fill="D9D9D9" w:themeFill="background1" w:themeFillShade="D9"/>
              </w:rPr>
              <w:t>A customer with arrears, who applies for a pre-payment meter, will be required to repay all arrears in full before a pre-payment electricity meter is installed or, if the amount outstanding is large and/or the customer’s ability to pay is limited the arrears can be repaid by allocating 50% of all purchases before any electricity credit is given.</w:t>
            </w:r>
          </w:p>
        </w:tc>
      </w:tr>
      <w:tr w:rsidR="00774E67" w:rsidTr="002A3FB9">
        <w:tc>
          <w:tcPr>
            <w:tcW w:w="4774" w:type="dxa"/>
          </w:tcPr>
          <w:p w:rsidR="00774E67" w:rsidRPr="000F1B80" w:rsidRDefault="00774E67" w:rsidP="002A3FB9">
            <w:pPr>
              <w:spacing w:before="60" w:after="60"/>
              <w:jc w:val="both"/>
              <w:rPr>
                <w:sz w:val="24"/>
              </w:rPr>
            </w:pPr>
          </w:p>
        </w:tc>
        <w:tc>
          <w:tcPr>
            <w:tcW w:w="4774" w:type="dxa"/>
          </w:tcPr>
          <w:p w:rsidR="00774E67" w:rsidRPr="000F1B80" w:rsidRDefault="00774E67" w:rsidP="002A3FB9">
            <w:pPr>
              <w:spacing w:before="60" w:after="60"/>
              <w:jc w:val="both"/>
              <w:rPr>
                <w:sz w:val="24"/>
              </w:rPr>
            </w:pPr>
          </w:p>
        </w:tc>
      </w:tr>
      <w:tr w:rsidR="00774E67" w:rsidTr="002A3FB9">
        <w:tc>
          <w:tcPr>
            <w:tcW w:w="9548" w:type="dxa"/>
            <w:gridSpan w:val="2"/>
          </w:tcPr>
          <w:p w:rsidR="00774E67" w:rsidRDefault="00774E67" w:rsidP="002A3FB9">
            <w:pPr>
              <w:spacing w:before="60" w:after="60"/>
              <w:jc w:val="both"/>
              <w:rPr>
                <w:sz w:val="24"/>
              </w:rPr>
            </w:pPr>
            <w:r>
              <w:rPr>
                <w:sz w:val="24"/>
              </w:rPr>
              <w:t>Annexure “A” – Arrangements is not applicable and should be removed from the policy, since arrangements is now covered in the policy itself.</w:t>
            </w:r>
          </w:p>
        </w:tc>
      </w:tr>
      <w:tr w:rsidR="00774E67" w:rsidTr="002A3FB9">
        <w:tc>
          <w:tcPr>
            <w:tcW w:w="4774" w:type="dxa"/>
          </w:tcPr>
          <w:p w:rsidR="00774E67" w:rsidRDefault="00774E67" w:rsidP="002A3FB9">
            <w:pPr>
              <w:spacing w:before="60" w:after="60"/>
              <w:jc w:val="both"/>
              <w:rPr>
                <w:sz w:val="24"/>
              </w:rPr>
            </w:pPr>
          </w:p>
        </w:tc>
        <w:tc>
          <w:tcPr>
            <w:tcW w:w="4774" w:type="dxa"/>
          </w:tcPr>
          <w:p w:rsidR="00774E67" w:rsidRDefault="00774E67" w:rsidP="002A3FB9">
            <w:pPr>
              <w:spacing w:before="60" w:after="60"/>
              <w:jc w:val="both"/>
              <w:rPr>
                <w:sz w:val="24"/>
              </w:rPr>
            </w:pPr>
          </w:p>
        </w:tc>
      </w:tr>
    </w:tbl>
    <w:p w:rsidR="00774E67" w:rsidRPr="00703D7C" w:rsidRDefault="00774E67" w:rsidP="00A74FC2">
      <w:pPr>
        <w:jc w:val="both"/>
        <w:rPr>
          <w:sz w:val="24"/>
          <w:lang w:val="af-ZA"/>
        </w:rPr>
      </w:pPr>
    </w:p>
    <w:sectPr w:rsidR="00774E67" w:rsidRPr="00703D7C" w:rsidSect="00A74FC2">
      <w:pgSz w:w="11906" w:h="16838"/>
      <w:pgMar w:top="1361" w:right="1134" w:bottom="1361"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661F"/>
    <w:multiLevelType w:val="hybridMultilevel"/>
    <w:tmpl w:val="1E4E12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39453BAC"/>
    <w:multiLevelType w:val="hybridMultilevel"/>
    <w:tmpl w:val="C2B2AA3E"/>
    <w:lvl w:ilvl="0" w:tplc="8A80EA5A">
      <w:start w:val="4"/>
      <w:numFmt w:val="decimal"/>
      <w:lvlText w:val="%1."/>
      <w:lvlJc w:val="left"/>
      <w:pPr>
        <w:tabs>
          <w:tab w:val="num" w:pos="720"/>
        </w:tabs>
        <w:ind w:left="720" w:hanging="360"/>
      </w:pPr>
      <w:rPr>
        <w:rFonts w:hint="default"/>
      </w:rPr>
    </w:lvl>
    <w:lvl w:ilvl="1" w:tplc="41B89A74">
      <w:numFmt w:val="none"/>
      <w:lvlText w:val=""/>
      <w:lvlJc w:val="left"/>
      <w:pPr>
        <w:tabs>
          <w:tab w:val="num" w:pos="360"/>
        </w:tabs>
      </w:pPr>
    </w:lvl>
    <w:lvl w:ilvl="2" w:tplc="EE34E632">
      <w:numFmt w:val="none"/>
      <w:lvlText w:val=""/>
      <w:lvlJc w:val="left"/>
      <w:pPr>
        <w:tabs>
          <w:tab w:val="num" w:pos="360"/>
        </w:tabs>
      </w:pPr>
    </w:lvl>
    <w:lvl w:ilvl="3" w:tplc="98A8EFB2">
      <w:numFmt w:val="none"/>
      <w:lvlText w:val=""/>
      <w:lvlJc w:val="left"/>
      <w:pPr>
        <w:tabs>
          <w:tab w:val="num" w:pos="360"/>
        </w:tabs>
      </w:pPr>
    </w:lvl>
    <w:lvl w:ilvl="4" w:tplc="21865C26">
      <w:numFmt w:val="none"/>
      <w:lvlText w:val=""/>
      <w:lvlJc w:val="left"/>
      <w:pPr>
        <w:tabs>
          <w:tab w:val="num" w:pos="360"/>
        </w:tabs>
      </w:pPr>
    </w:lvl>
    <w:lvl w:ilvl="5" w:tplc="70C4A88E">
      <w:numFmt w:val="none"/>
      <w:lvlText w:val=""/>
      <w:lvlJc w:val="left"/>
      <w:pPr>
        <w:tabs>
          <w:tab w:val="num" w:pos="360"/>
        </w:tabs>
      </w:pPr>
    </w:lvl>
    <w:lvl w:ilvl="6" w:tplc="E01644A8">
      <w:numFmt w:val="none"/>
      <w:lvlText w:val=""/>
      <w:lvlJc w:val="left"/>
      <w:pPr>
        <w:tabs>
          <w:tab w:val="num" w:pos="360"/>
        </w:tabs>
      </w:pPr>
    </w:lvl>
    <w:lvl w:ilvl="7" w:tplc="2C866B38">
      <w:numFmt w:val="none"/>
      <w:lvlText w:val=""/>
      <w:lvlJc w:val="left"/>
      <w:pPr>
        <w:tabs>
          <w:tab w:val="num" w:pos="360"/>
        </w:tabs>
      </w:pPr>
    </w:lvl>
    <w:lvl w:ilvl="8" w:tplc="C78850E8">
      <w:numFmt w:val="none"/>
      <w:lvlText w:val=""/>
      <w:lvlJc w:val="left"/>
      <w:pPr>
        <w:tabs>
          <w:tab w:val="num" w:pos="360"/>
        </w:tabs>
      </w:pPr>
    </w:lvl>
  </w:abstractNum>
  <w:abstractNum w:abstractNumId="2">
    <w:nsid w:val="68846713"/>
    <w:multiLevelType w:val="hybridMultilevel"/>
    <w:tmpl w:val="4110639A"/>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
    <w:nsid w:val="74B75519"/>
    <w:multiLevelType w:val="multilevel"/>
    <w:tmpl w:val="7E589B5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6"/>
      <w:numFmt w:val="lowerLetter"/>
      <w:lvlText w:val="(%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4FC2"/>
    <w:rsid w:val="000126A0"/>
    <w:rsid w:val="00042B6B"/>
    <w:rsid w:val="00073A48"/>
    <w:rsid w:val="00097F88"/>
    <w:rsid w:val="000B478B"/>
    <w:rsid w:val="000F1B80"/>
    <w:rsid w:val="0013026C"/>
    <w:rsid w:val="001603C3"/>
    <w:rsid w:val="0024356E"/>
    <w:rsid w:val="00335234"/>
    <w:rsid w:val="00422AD5"/>
    <w:rsid w:val="00454316"/>
    <w:rsid w:val="00561AFE"/>
    <w:rsid w:val="005A4134"/>
    <w:rsid w:val="006715CA"/>
    <w:rsid w:val="00703D7C"/>
    <w:rsid w:val="00774E67"/>
    <w:rsid w:val="0085477E"/>
    <w:rsid w:val="00A5310C"/>
    <w:rsid w:val="00A74FC2"/>
    <w:rsid w:val="00A76BFC"/>
    <w:rsid w:val="00C141D6"/>
    <w:rsid w:val="00C76A73"/>
    <w:rsid w:val="00DB7D19"/>
    <w:rsid w:val="00EE6FDE"/>
    <w:rsid w:val="00F95958"/>
    <w:rsid w:val="00FC1030"/>
    <w:rsid w:val="00FE1EB5"/>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30"/>
  </w:style>
  <w:style w:type="paragraph" w:styleId="Heading1">
    <w:name w:val="heading 1"/>
    <w:basedOn w:val="Normal"/>
    <w:next w:val="Normal"/>
    <w:link w:val="Heading1Char"/>
    <w:uiPriority w:val="9"/>
    <w:qFormat/>
    <w:rsid w:val="00A53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FE1EB5"/>
    <w:pPr>
      <w:keepNext/>
      <w:spacing w:before="240" w:after="60" w:line="240" w:lineRule="auto"/>
      <w:outlineLvl w:val="2"/>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6A0"/>
    <w:pPr>
      <w:ind w:left="720"/>
      <w:contextualSpacing/>
    </w:pPr>
  </w:style>
  <w:style w:type="table" w:styleId="TableGrid">
    <w:name w:val="Table Grid"/>
    <w:basedOn w:val="TableNormal"/>
    <w:uiPriority w:val="59"/>
    <w:rsid w:val="00FE1E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FE1EB5"/>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A5310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Gys</dc:creator>
  <cp:lastModifiedBy>Gys</cp:lastModifiedBy>
  <cp:revision>13</cp:revision>
  <dcterms:created xsi:type="dcterms:W3CDTF">2014-03-12T06:32:00Z</dcterms:created>
  <dcterms:modified xsi:type="dcterms:W3CDTF">2014-03-17T15:43:00Z</dcterms:modified>
</cp:coreProperties>
</file>