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43" w:rsidRDefault="00CC7728" w:rsidP="006D1BF7">
      <w:pPr>
        <w:jc w:val="center"/>
        <w:rPr>
          <w:noProof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BF811" wp14:editId="09987986">
                <wp:simplePos x="0" y="0"/>
                <wp:positionH relativeFrom="margin">
                  <wp:align>right</wp:align>
                </wp:positionH>
                <wp:positionV relativeFrom="margin">
                  <wp:posOffset>2880360</wp:posOffset>
                </wp:positionV>
                <wp:extent cx="5791200" cy="5136515"/>
                <wp:effectExtent l="0" t="0" r="12700" b="6985"/>
                <wp:wrapTopAndBottom/>
                <wp:docPr id="6" name="Text Box 6" descr="Title, Subtitle, and Abstr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36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7728" w:rsidRPr="00CC7728" w:rsidRDefault="00CC7728" w:rsidP="00CC7728">
                            <w:pPr>
                              <w:pStyle w:val="Title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44"/>
                              </w:rPr>
                            </w:pPr>
                            <w:r w:rsidRPr="00CC772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36"/>
                                <w:bdr w:val="single" w:sz="4" w:space="0" w:color="auto"/>
                              </w:rPr>
                              <w:t xml:space="preserve">budget related policy </w:t>
                            </w:r>
                          </w:p>
                          <w:p w:rsidR="00016ED1" w:rsidRPr="006D1BF7" w:rsidRDefault="006641FD">
                            <w:pPr>
                              <w:pStyle w:val="Title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funding and reserves policy</w:t>
                            </w: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Summary</w:t>
                            </w: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: </w:t>
                            </w: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This document describes the </w:t>
                            </w:r>
                            <w:r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>funding and reserves po</w:t>
                            </w: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licy </w:t>
                            </w:r>
                          </w:p>
                          <w:p w:rsidR="00CC7728" w:rsidRDefault="00CC7728" w:rsidP="00CC7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BC515B">
                              <w:rPr>
                                <w:rFonts w:cs="Helvetica"/>
                                <w:sz w:val="22"/>
                                <w:szCs w:val="22"/>
                                <w:lang w:val="en-ZA"/>
                              </w:rPr>
                              <w:t xml:space="preserve">that will be applicable with effect from </w:t>
                            </w:r>
                            <w:r w:rsidRPr="00BC515B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1 July 201</w:t>
                            </w:r>
                            <w:r w:rsidR="00395421">
                              <w:rPr>
                                <w:rFonts w:cs="Helvetica-Bold"/>
                                <w:b/>
                                <w:bCs/>
                                <w:sz w:val="22"/>
                                <w:szCs w:val="22"/>
                                <w:lang w:val="en-ZA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BC515B">
                              <w:rPr>
                                <w:rFonts w:cs="Helvetica-Bold"/>
                                <w:bCs/>
                                <w:sz w:val="22"/>
                                <w:szCs w:val="22"/>
                                <w:lang w:val="en-ZA"/>
                              </w:rPr>
                              <w:t>.</w:t>
                            </w:r>
                          </w:p>
                          <w:p w:rsidR="00CC7728" w:rsidRDefault="00CC7728" w:rsidP="00D30E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Black"/>
                                <w:i/>
                                <w:color w:val="000000"/>
                                <w:sz w:val="24"/>
                                <w:szCs w:val="28"/>
                                <w:lang w:val="en-ZA"/>
                              </w:rPr>
                            </w:pPr>
                          </w:p>
                          <w:p w:rsidR="00016ED1" w:rsidRPr="00CC7728" w:rsidRDefault="00016ED1" w:rsidP="00D30E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ArialBlack"/>
                                <w:color w:val="000000"/>
                                <w:sz w:val="24"/>
                                <w:szCs w:val="28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BF8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itle, Subtitle, and Abstract" style="position:absolute;left:0;text-align:left;margin-left:404.8pt;margin-top:226.8pt;width:456pt;height:404.4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" filled="f" stroked="f" strokeweight=".5pt">
                <v:textbox inset="0,0,0,0">
                  <w:txbxContent>
                    <w:p w:rsidR="00CC7728" w:rsidRPr="00CC7728" w:rsidRDefault="00CC7728" w:rsidP="00CC7728">
                      <w:pPr>
                        <w:pStyle w:val="Title"/>
                        <w:rPr>
                          <w:rFonts w:asciiTheme="minorHAnsi" w:hAnsiTheme="minorHAnsi"/>
                          <w:b/>
                          <w:color w:val="C00000"/>
                          <w:sz w:val="44"/>
                        </w:rPr>
                      </w:pPr>
                      <w:r w:rsidRPr="00CC7728">
                        <w:rPr>
                          <w:rFonts w:asciiTheme="minorHAnsi" w:hAnsiTheme="minorHAnsi"/>
                          <w:b/>
                          <w:color w:val="C00000"/>
                          <w:sz w:val="36"/>
                          <w:bdr w:val="single" w:sz="4" w:space="0" w:color="auto"/>
                        </w:rPr>
                        <w:t xml:space="preserve">budget related policy </w:t>
                      </w:r>
                    </w:p>
                    <w:p w:rsidR="00016ED1" w:rsidRPr="006D1BF7" w:rsidRDefault="006641FD">
                      <w:pPr>
                        <w:pStyle w:val="Title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>funding and reserves policy</w:t>
                      </w: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</w:pP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Summary</w:t>
                      </w: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: </w:t>
                      </w: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This document describes the </w:t>
                      </w:r>
                      <w:r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>funding and reserves po</w:t>
                      </w: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licy </w:t>
                      </w:r>
                    </w:p>
                    <w:p w:rsidR="00CC7728" w:rsidRDefault="00CC7728" w:rsidP="00CC7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</w:pPr>
                      <w:r w:rsidRPr="00BC515B">
                        <w:rPr>
                          <w:rFonts w:cs="Helvetica"/>
                          <w:sz w:val="22"/>
                          <w:szCs w:val="22"/>
                          <w:lang w:val="en-ZA"/>
                        </w:rPr>
                        <w:t xml:space="preserve">that will be applicable with effect from </w:t>
                      </w:r>
                      <w:r w:rsidRPr="00BC515B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1 July 201</w:t>
                      </w:r>
                      <w:r w:rsidR="00395421">
                        <w:rPr>
                          <w:rFonts w:cs="Helvetica-Bold"/>
                          <w:b/>
                          <w:bCs/>
                          <w:sz w:val="22"/>
                          <w:szCs w:val="22"/>
                          <w:lang w:val="en-ZA"/>
                        </w:rPr>
                        <w:t>7</w:t>
                      </w:r>
                      <w:bookmarkStart w:id="1" w:name="_GoBack"/>
                      <w:bookmarkEnd w:id="1"/>
                      <w:r w:rsidRPr="00BC515B">
                        <w:rPr>
                          <w:rFonts w:cs="Helvetica-Bold"/>
                          <w:bCs/>
                          <w:sz w:val="22"/>
                          <w:szCs w:val="22"/>
                          <w:lang w:val="en-ZA"/>
                        </w:rPr>
                        <w:t>.</w:t>
                      </w:r>
                    </w:p>
                    <w:p w:rsidR="00CC7728" w:rsidRDefault="00CC7728" w:rsidP="00D30E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Black"/>
                          <w:i/>
                          <w:color w:val="000000"/>
                          <w:sz w:val="24"/>
                          <w:szCs w:val="28"/>
                          <w:lang w:val="en-ZA"/>
                        </w:rPr>
                      </w:pPr>
                    </w:p>
                    <w:p w:rsidR="00016ED1" w:rsidRPr="00CC7728" w:rsidRDefault="00016ED1" w:rsidP="00D30E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ArialBlack"/>
                          <w:color w:val="000000"/>
                          <w:sz w:val="24"/>
                          <w:szCs w:val="28"/>
                          <w:lang w:val="en-Z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D1BF7" w:rsidRPr="006D1BF7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7C14C2" wp14:editId="3334F3C6">
                <wp:simplePos x="0" y="0"/>
                <wp:positionH relativeFrom="margin">
                  <wp:align>right</wp:align>
                </wp:positionH>
                <wp:positionV relativeFrom="paragraph">
                  <wp:posOffset>3138170</wp:posOffset>
                </wp:positionV>
                <wp:extent cx="576262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ED1" w:rsidRPr="00D30E86" w:rsidRDefault="006A056F" w:rsidP="006D1BF7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caps/>
                                <w:color w:val="39302A" w:themeColor="text2"/>
                                <w:spacing w:val="30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caps/>
                                <w:color w:val="39302A" w:themeColor="text2"/>
                                <w:spacing w:val="30"/>
                                <w:sz w:val="44"/>
                                <w:szCs w:val="72"/>
                              </w:rPr>
                              <w:t>prince albert</w:t>
                            </w:r>
                            <w:r w:rsidR="00016ED1" w:rsidRPr="00D30E86">
                              <w:rPr>
                                <w:rFonts w:eastAsiaTheme="majorEastAsia" w:cstheme="majorBidi"/>
                                <w:b/>
                                <w:caps/>
                                <w:color w:val="39302A" w:themeColor="text2"/>
                                <w:spacing w:val="30"/>
                                <w:sz w:val="44"/>
                                <w:szCs w:val="72"/>
                              </w:rPr>
                              <w:t xml:space="preserve"> Municipality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14C2" id="Text Box 2" o:spid="_x0000_s1027" type="#_x0000_t202" style="position:absolute;left:0;text-align:left;margin-left:402.55pt;margin-top:247.1pt;width:453.75pt;height:37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">
                <v:textbox>
                  <w:txbxContent>
                    <w:p w:rsidR="00016ED1" w:rsidRPr="00D30E86" w:rsidRDefault="006A056F" w:rsidP="006D1BF7">
                      <w:pPr>
                        <w:jc w:val="center"/>
                        <w:rPr>
                          <w:rFonts w:eastAsiaTheme="majorEastAsia" w:cstheme="majorBidi"/>
                          <w:b/>
                          <w:caps/>
                          <w:color w:val="39302A" w:themeColor="text2"/>
                          <w:spacing w:val="30"/>
                          <w:sz w:val="44"/>
                          <w:szCs w:val="72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caps/>
                          <w:color w:val="39302A" w:themeColor="text2"/>
                          <w:spacing w:val="30"/>
                          <w:sz w:val="44"/>
                          <w:szCs w:val="72"/>
                        </w:rPr>
                        <w:t>prince albert</w:t>
                      </w:r>
                      <w:r w:rsidR="00016ED1" w:rsidRPr="00D30E86">
                        <w:rPr>
                          <w:rFonts w:eastAsiaTheme="majorEastAsia" w:cstheme="majorBidi"/>
                          <w:b/>
                          <w:caps/>
                          <w:color w:val="39302A" w:themeColor="text2"/>
                          <w:spacing w:val="30"/>
                          <w:sz w:val="44"/>
                          <w:szCs w:val="72"/>
                        </w:rPr>
                        <w:t xml:space="preserve"> Municipality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noProof/>
          </w:rPr>
          <w:id w:val="-1724750495"/>
          <w:docPartObj>
            <w:docPartGallery w:val="Cover Pages"/>
            <w:docPartUnique/>
          </w:docPartObj>
        </w:sdtPr>
        <w:sdtEndPr/>
        <w:sdtContent>
          <w:r w:rsidR="004670A7">
            <w:rPr>
              <w:rFonts w:asciiTheme="majorHAnsi" w:eastAsiaTheme="majorEastAsia" w:hAnsiTheme="majorHAnsi" w:cstheme="majorBidi"/>
              <w:noProof/>
              <w:sz w:val="76"/>
              <w:szCs w:val="72"/>
              <w:lang w:val="en-ZA" w:eastAsia="en-Z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0" wp14:anchorId="3E30CC39" wp14:editId="7117699E">
                    <wp:simplePos x="0" y="0"/>
                    <mc:AlternateContent>
                      <mc:Choice Requires="wp14">
                        <wp:positionH relativeFrom="page">
                          <wp14:pctPosHOffset>9300</wp14:pctPosHOffset>
                        </wp:positionH>
                      </mc:Choice>
                      <mc:Fallback>
                        <wp:positionH relativeFrom="page">
                          <wp:posOffset>722630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5500</wp14:pctPosVOffset>
                        </wp:positionV>
                      </mc:Choice>
                      <mc:Fallback>
                        <wp:positionV relativeFrom="page">
                          <wp:posOffset>553085</wp:posOffset>
                        </wp:positionV>
                      </mc:Fallback>
                    </mc:AlternateContent>
                    <wp:extent cx="6248400" cy="1285875"/>
                    <wp:effectExtent l="0" t="0" r="0" b="5715"/>
                    <wp:wrapTopAndBottom/>
                    <wp:docPr id="3" name="Text Box 3" descr="Company contact informatio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1285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kern w:val="20"/>
                                  </w:rPr>
                                  <w:alias w:val="Company"/>
                                  <w:tag w:val=""/>
                                  <w:id w:val="836736287"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:rsidR="00016ED1" w:rsidRPr="006D1BF7" w:rsidRDefault="006A056F">
                                    <w:pPr>
                                      <w:pStyle w:val="NoSpacing"/>
                                      <w:rPr>
                                        <w:kern w:val="20"/>
                                      </w:rPr>
                                    </w:pPr>
                                    <w:r>
                                      <w:rPr>
                                        <w:kern w:val="20"/>
                                      </w:rPr>
                                      <w:t>Prince Albert</w:t>
                                    </w:r>
                                    <w:r w:rsidR="00016ED1" w:rsidRPr="006D1BF7">
                                      <w:rPr>
                                        <w:kern w:val="20"/>
                                      </w:rPr>
                                      <w:t xml:space="preserve"> Municipality</w:t>
                                    </w:r>
                                  </w:p>
                                </w:sdtContent>
                              </w:sdt>
                              <w:p w:rsidR="00016ED1" w:rsidRPr="006D1BF7" w:rsidRDefault="00395421">
                                <w:pPr>
                                  <w:pStyle w:val="NoSpacing"/>
                                </w:pPr>
                                <w:sdt>
                                  <w:sdtPr>
                                    <w:alias w:val="Street Address"/>
                                    <w:tag w:val="Street Address"/>
                                    <w:id w:val="393080600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6A056F">
                                      <w:t>23 Church Street, Prince Albert</w:t>
                                    </w:r>
                                  </w:sdtContent>
                                </w:sdt>
                              </w:p>
                              <w:p w:rsidR="00016ED1" w:rsidRPr="006D1BF7" w:rsidRDefault="00016ED1">
                                <w:pPr>
                                  <w:pStyle w:val="NoSpacing"/>
                                </w:pPr>
                                <w:r w:rsidRPr="006D1BF7">
                                  <w:rPr>
                                    <w:rStyle w:val="Strong"/>
                                    <w:b w:val="0"/>
                                  </w:rPr>
                                  <w:t>Tel</w:t>
                                </w:r>
                                <w:r w:rsidRPr="006D1BF7">
                                  <w:t xml:space="preserve"> </w:t>
                                </w:r>
                                <w:sdt>
                                  <w:sdtPr>
                                    <w:alias w:val="Telephone"/>
                                    <w:tag w:val="Telephone"/>
                                    <w:id w:val="-677575699"/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A056F">
                                      <w:t>023-5411 036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Website"/>
                                  <w:tag w:val="Website"/>
                                  <w:id w:val="-576598041"/>
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16ED1" w:rsidRPr="006D1BF7" w:rsidRDefault="006A056F">
                                    <w:r>
                                      <w:t>www.pamun.gov.za</w:t>
                                    </w:r>
                                  </w:p>
                                </w:sdtContent>
                              </w:sdt>
                              <w:p w:rsidR="00016ED1" w:rsidRDefault="00016ED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80400</wp14:pctWidth>
                    </wp14:sizeRelH>
                    <wp14:sizeRelV relativeFrom="page">
                      <wp14:pctHeight>15000</wp14:pctHeight>
                    </wp14:sizeRelV>
                  </wp:anchor>
                </w:drawing>
              </mc:Choice>
              <mc:Fallback>
                <w:pict>
                  <v:shape w14:anchorId="3E30CC39" id="Text Box 3" o:spid="_x0000_s1028" type="#_x0000_t202" alt="Company contact information" style="position:absolute;left:0;text-align:left;margin-left:0;margin-top:0;width:492pt;height:101.25pt;z-index:251660288;visibility:visible;mso-wrap-style:square;mso-width-percent:804;mso-height-percent:150;mso-left-percent:93;mso-top-percent:55;mso-wrap-distance-left:9pt;mso-wrap-distance-top:0;mso-wrap-distance-right:9pt;mso-wrap-distance-bottom:0;mso-position-horizontal-relative:page;mso-position-vertical-relative:page;mso-width-percent:804;mso-height-percent:150;mso-left-percent:93;mso-top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" o:allowincell="f" o:allowoverlap="f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kern w:val="20"/>
                            </w:rPr>
                            <w:alias w:val="Company"/>
                            <w:tag w:val=""/>
                            <w:id w:val="836736287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016ED1" w:rsidRPr="006D1BF7" w:rsidRDefault="006A056F">
                              <w:pPr>
                                <w:pStyle w:val="NoSpacing"/>
                                <w:rPr>
                                  <w:kern w:val="20"/>
                                </w:rPr>
                              </w:pPr>
                              <w:r>
                                <w:rPr>
                                  <w:kern w:val="20"/>
                                </w:rPr>
                                <w:t>Prince Albert</w:t>
                              </w:r>
                              <w:r w:rsidR="00016ED1" w:rsidRPr="006D1BF7">
                                <w:rPr>
                                  <w:kern w:val="20"/>
                                </w:rPr>
                                <w:t xml:space="preserve"> Municipality</w:t>
                              </w:r>
                            </w:p>
                          </w:sdtContent>
                        </w:sdt>
                        <w:p w:rsidR="00016ED1" w:rsidRPr="006D1BF7" w:rsidRDefault="00395421">
                          <w:pPr>
                            <w:pStyle w:val="NoSpacing"/>
                          </w:pPr>
                          <w:sdt>
                            <w:sdtPr>
                              <w:alias w:val="Street Address"/>
                              <w:tag w:val="Street Address"/>
                              <w:id w:val="393080600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r w:rsidR="006A056F">
                                <w:t>23 Church Street, Prince Albert</w:t>
                              </w:r>
                            </w:sdtContent>
                          </w:sdt>
                        </w:p>
                        <w:p w:rsidR="00016ED1" w:rsidRPr="006D1BF7" w:rsidRDefault="00016ED1">
                          <w:pPr>
                            <w:pStyle w:val="NoSpacing"/>
                          </w:pPr>
                          <w:r w:rsidRPr="006D1BF7">
                            <w:rPr>
                              <w:rStyle w:val="Strong"/>
                              <w:b w:val="0"/>
                            </w:rPr>
                            <w:t>Tel</w:t>
                          </w:r>
                          <w:r w:rsidRPr="006D1BF7">
                            <w:t xml:space="preserve"> </w:t>
                          </w:r>
                          <w:sdt>
                            <w:sdtPr>
                              <w:alias w:val="Telephone"/>
                              <w:tag w:val="Telephone"/>
                              <w:id w:val="-677575699"/>
                              <w:dataBinding w:prefixMappings="xmlns:ns0='http://schemas.microsoft.com/office/2006/coverPageProps' " w:xpath="/ns0:CoverPageProperties[1]/ns0:CompanyPhone[1]" w:storeItemID="{55AF091B-3C7A-41E3-B477-F2FDAA23CFDA}"/>
                              <w:text/>
                            </w:sdtPr>
                            <w:sdtEndPr/>
                            <w:sdtContent>
                              <w:r w:rsidR="006A056F">
                                <w:t>023-5411 036</w:t>
                              </w:r>
                            </w:sdtContent>
                          </w:sdt>
                        </w:p>
                        <w:sdt>
                          <w:sdtPr>
                            <w:alias w:val="Website"/>
                            <w:tag w:val="Website"/>
                            <w:id w:val="-576598041"/>
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<w:text/>
                          </w:sdtPr>
                          <w:sdtEndPr/>
                          <w:sdtContent>
                            <w:p w:rsidR="00016ED1" w:rsidRPr="006D1BF7" w:rsidRDefault="006A056F">
                              <w:r>
                                <w:t>www.pamun.gov.za</w:t>
                              </w:r>
                            </w:p>
                          </w:sdtContent>
                        </w:sdt>
                        <w:p w:rsidR="00016ED1" w:rsidRDefault="00016ED1"/>
                      </w:txbxContent>
                    </v:textbox>
                    <w10:wrap type="topAndBottom" anchorx="page" anchory="page"/>
                  </v:shape>
                </w:pict>
              </mc:Fallback>
            </mc:AlternateContent>
          </w:r>
          <w:r w:rsidR="004670A7">
            <w:rPr>
              <w:noProof/>
            </w:rPr>
            <w:br w:type="page"/>
          </w:r>
        </w:sdtContent>
      </w:sdt>
    </w:p>
    <w:p w:rsidR="00D96F75" w:rsidRPr="00971FBD" w:rsidRDefault="00850CFA" w:rsidP="00D96F75">
      <w:pPr>
        <w:autoSpaceDE w:val="0"/>
        <w:autoSpaceDN w:val="0"/>
        <w:adjustRightInd w:val="0"/>
        <w:spacing w:after="0" w:line="360" w:lineRule="auto"/>
        <w:rPr>
          <w:rFonts w:eastAsia="BatangChe" w:cs="Arial"/>
          <w:b/>
          <w:color w:val="C00000"/>
          <w:sz w:val="36"/>
        </w:rPr>
      </w:pPr>
      <w:r w:rsidRPr="00971FBD">
        <w:rPr>
          <w:rFonts w:eastAsia="BatangChe" w:cs="Arial"/>
          <w:b/>
          <w:noProof/>
          <w:color w:val="C00000"/>
          <w:sz w:val="36"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8F86B3" wp14:editId="212F5420">
                <wp:simplePos x="0" y="0"/>
                <wp:positionH relativeFrom="margin">
                  <wp:posOffset>28270</wp:posOffset>
                </wp:positionH>
                <wp:positionV relativeFrom="paragraph">
                  <wp:posOffset>360680</wp:posOffset>
                </wp:positionV>
                <wp:extent cx="577215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BAE36" id="Straight Connector 3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28.4pt" to="456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" strokecolor="black [3040]">
                <w10:wrap anchorx="margin"/>
              </v:line>
            </w:pict>
          </mc:Fallback>
        </mc:AlternateContent>
      </w:r>
      <w:r w:rsidR="00D96F75" w:rsidRPr="00971FBD">
        <w:rPr>
          <w:rFonts w:eastAsia="BatangChe" w:cs="Arial"/>
          <w:b/>
          <w:color w:val="C00000"/>
          <w:sz w:val="36"/>
        </w:rPr>
        <w:t>TABLE OF CONTENTS</w:t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</w:r>
      <w:r w:rsidR="00971FBD">
        <w:rPr>
          <w:rFonts w:eastAsia="BatangChe" w:cs="Arial"/>
          <w:b/>
          <w:color w:val="C00000"/>
          <w:sz w:val="36"/>
        </w:rPr>
        <w:tab/>
        <w:t xml:space="preserve">     Page</w:t>
      </w:r>
    </w:p>
    <w:p w:rsidR="00D96F75" w:rsidRDefault="00971FBD" w:rsidP="00850CFA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ZA"/>
        </w:rPr>
      </w:pPr>
      <w:r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</w:r>
      <w:r w:rsidR="00D96F75">
        <w:rPr>
          <w:rFonts w:ascii="Arial" w:hAnsi="Arial" w:cs="Arial"/>
          <w:b/>
          <w:bCs/>
          <w:sz w:val="28"/>
          <w:szCs w:val="28"/>
          <w:lang w:val="en-ZA"/>
        </w:rPr>
        <w:tab/>
        <w:t xml:space="preserve">     </w:t>
      </w: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Applicati</w:t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>on and Scope</w:t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 w:rsidRP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3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 xml:space="preserve">Objectives of Policy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3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D51533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>
        <w:rPr>
          <w:rFonts w:cs="Arial"/>
          <w:bCs/>
          <w:color w:val="000000"/>
          <w:sz w:val="22"/>
          <w:szCs w:val="22"/>
          <w:lang w:val="en-ZA"/>
        </w:rPr>
        <w:t>Introduction</w:t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3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Projected billings, collecti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>ons and direct revenue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4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Funding sources for oper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ating and capital budget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4 - 6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E13575" w:rsidRDefault="00E13575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>
        <w:rPr>
          <w:rFonts w:cs="Arial"/>
          <w:bCs/>
          <w:color w:val="000000"/>
          <w:sz w:val="22"/>
          <w:szCs w:val="22"/>
          <w:lang w:val="en-ZA"/>
        </w:rPr>
        <w:t>The Operating Budget</w:t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  <w:t>4 - 5</w:t>
      </w:r>
    </w:p>
    <w:p w:rsidR="00E13575" w:rsidRPr="00E13575" w:rsidRDefault="00E13575" w:rsidP="00E13575">
      <w:pPr>
        <w:pStyle w:val="ListParagraph"/>
        <w:rPr>
          <w:rFonts w:cs="Arial"/>
          <w:bCs/>
          <w:color w:val="000000"/>
          <w:sz w:val="22"/>
          <w:szCs w:val="22"/>
          <w:lang w:val="en-ZA"/>
        </w:rPr>
      </w:pPr>
    </w:p>
    <w:p w:rsidR="00E13575" w:rsidRDefault="00E13575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>
        <w:rPr>
          <w:rFonts w:cs="Arial"/>
          <w:bCs/>
          <w:color w:val="000000"/>
          <w:sz w:val="22"/>
          <w:szCs w:val="22"/>
          <w:lang w:val="en-ZA"/>
        </w:rPr>
        <w:t>The Capital Budget</w:t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</w:r>
      <w:r>
        <w:rPr>
          <w:rFonts w:cs="Arial"/>
          <w:bCs/>
          <w:color w:val="000000"/>
          <w:sz w:val="22"/>
          <w:szCs w:val="22"/>
          <w:lang w:val="en-ZA"/>
        </w:rPr>
        <w:tab/>
        <w:t>5 - 6</w:t>
      </w:r>
    </w:p>
    <w:p w:rsidR="00E13575" w:rsidRPr="00E13575" w:rsidRDefault="00E13575" w:rsidP="00E13575">
      <w:pPr>
        <w:pStyle w:val="ListParagrap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 xml:space="preserve">Provision for revenue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that will not be collected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The funds the municipality can expect to recei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>ve from investment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Proceeds from transfer or dis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posal of assets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B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orrowing requirement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6</w:t>
      </w:r>
    </w:p>
    <w:p w:rsidR="00D51533" w:rsidRPr="00D51533" w:rsidRDefault="00D51533" w:rsidP="00D5153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/>
        <w:jc w:val="both"/>
        <w:rPr>
          <w:rFonts w:cs="Arial"/>
          <w:bCs/>
          <w:color w:val="000000"/>
          <w:sz w:val="22"/>
          <w:szCs w:val="22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99" w:hanging="357"/>
        <w:jc w:val="both"/>
        <w:rPr>
          <w:rFonts w:cs="Arial"/>
          <w:bCs/>
          <w:color w:val="000000"/>
          <w:sz w:val="22"/>
          <w:szCs w:val="22"/>
          <w:lang w:val="en-ZA"/>
        </w:rPr>
      </w:pPr>
      <w:r w:rsidRPr="00D51533">
        <w:rPr>
          <w:rFonts w:cs="Arial"/>
          <w:bCs/>
          <w:color w:val="000000"/>
          <w:sz w:val="22"/>
          <w:szCs w:val="22"/>
          <w:lang w:val="en-ZA"/>
        </w:rPr>
        <w:t>Capital Replacement Reserve (CR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 xml:space="preserve">R) </w:t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D51533">
        <w:rPr>
          <w:rFonts w:cs="Arial"/>
          <w:bCs/>
          <w:color w:val="000000"/>
          <w:sz w:val="22"/>
          <w:szCs w:val="22"/>
          <w:lang w:val="en-ZA"/>
        </w:rPr>
        <w:tab/>
      </w:r>
      <w:r w:rsidR="00E13575">
        <w:rPr>
          <w:rFonts w:cs="Arial"/>
          <w:bCs/>
          <w:color w:val="000000"/>
          <w:sz w:val="22"/>
          <w:szCs w:val="22"/>
          <w:lang w:val="en-ZA"/>
        </w:rPr>
        <w:t>7</w:t>
      </w:r>
    </w:p>
    <w:p w:rsidR="00971FBD" w:rsidRPr="00D51533" w:rsidRDefault="00971FBD" w:rsidP="00D51533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val="en-ZA"/>
        </w:rPr>
      </w:pPr>
    </w:p>
    <w:p w:rsidR="00971FBD" w:rsidRPr="00D51533" w:rsidRDefault="00971FBD" w:rsidP="00D51533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val="en-ZA"/>
        </w:rPr>
      </w:pPr>
    </w:p>
    <w:p w:rsidR="00971FBD" w:rsidRPr="00D51533" w:rsidRDefault="00971FBD" w:rsidP="00D51533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val="en-ZA"/>
        </w:rPr>
      </w:pPr>
    </w:p>
    <w:p w:rsidR="006641FD" w:rsidRPr="00D51533" w:rsidRDefault="006641FD" w:rsidP="007471CD">
      <w:pPr>
        <w:autoSpaceDE w:val="0"/>
        <w:autoSpaceDN w:val="0"/>
        <w:adjustRightInd w:val="0"/>
        <w:spacing w:before="120" w:after="120" w:line="360" w:lineRule="auto"/>
        <w:rPr>
          <w:rFonts w:cs="Arial"/>
          <w:sz w:val="22"/>
          <w:szCs w:val="22"/>
          <w:lang w:val="en-ZA"/>
        </w:rPr>
      </w:pPr>
    </w:p>
    <w:p w:rsidR="002175BA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lastRenderedPageBreak/>
        <w:t>Application and Scope</w:t>
      </w:r>
    </w:p>
    <w:p w:rsidR="006641FD" w:rsidRDefault="006641FD" w:rsidP="00D5153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This policy is mandated by Section 8 of the Local Government: Municipal Budget</w:t>
      </w:r>
      <w:r w:rsid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and Reporting Regulations which is made in terms of section 168 of the Municipal Finance Management Act, 2003 (Act no.56 of 2003). </w:t>
      </w:r>
    </w:p>
    <w:p w:rsidR="00D51533" w:rsidRPr="00D51533" w:rsidRDefault="00D51533" w:rsidP="00D5153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Objectives of </w:t>
      </w:r>
      <w:r w:rsidR="00B62375">
        <w:rPr>
          <w:rFonts w:asciiTheme="minorHAnsi" w:eastAsia="BatangChe" w:hAnsiTheme="minorHAnsi" w:cs="Arial"/>
          <w:b/>
          <w:color w:val="C00000"/>
          <w:sz w:val="24"/>
        </w:rPr>
        <w:t xml:space="preserve">this 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>Policy</w:t>
      </w:r>
    </w:p>
    <w:p w:rsidR="006641FD" w:rsidRDefault="006641FD" w:rsidP="00B6237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To ensure the operating and capital budgets of council are appropriately funded and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 also to en</w:t>
      </w:r>
      <w:r w:rsidRPr="00B62375">
        <w:rPr>
          <w:rFonts w:cs="Arial"/>
          <w:color w:val="000000"/>
          <w:sz w:val="23"/>
          <w:szCs w:val="23"/>
          <w:lang w:val="en-ZA"/>
        </w:rPr>
        <w:t>sure that provisions and reserves are maintained at the required levels to avoid future year unfunded liabilities</w:t>
      </w:r>
      <w:r w:rsidR="00B62375">
        <w:rPr>
          <w:rFonts w:cs="Arial"/>
          <w:color w:val="000000"/>
          <w:sz w:val="23"/>
          <w:szCs w:val="23"/>
          <w:lang w:val="en-ZA"/>
        </w:rPr>
        <w:t>.</w:t>
      </w:r>
    </w:p>
    <w:p w:rsidR="00B62375" w:rsidRPr="00B62375" w:rsidRDefault="00B62375" w:rsidP="00B6237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>Introduction</w:t>
      </w:r>
    </w:p>
    <w:p w:rsid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The municipal budget is prepared on the</w:t>
      </w:r>
      <w:r>
        <w:rPr>
          <w:rFonts w:cs="Times New Roman"/>
          <w:sz w:val="23"/>
          <w:szCs w:val="23"/>
          <w:lang w:val="en-ZA"/>
        </w:rPr>
        <w:t xml:space="preserve"> accrual</w:t>
      </w:r>
      <w:r w:rsidRPr="00D95AAF">
        <w:rPr>
          <w:rFonts w:cs="Times New Roman"/>
          <w:sz w:val="23"/>
          <w:szCs w:val="23"/>
          <w:lang w:val="en-ZA"/>
        </w:rPr>
        <w:t xml:space="preserve"> basis</w:t>
      </w:r>
      <w:r>
        <w:rPr>
          <w:rFonts w:cs="Times New Roman"/>
          <w:sz w:val="23"/>
          <w:szCs w:val="23"/>
          <w:lang w:val="en-ZA"/>
        </w:rPr>
        <w:t xml:space="preserve">, </w:t>
      </w:r>
      <w:r w:rsidRPr="00D95AAF">
        <w:rPr>
          <w:rFonts w:cs="Times New Roman"/>
          <w:sz w:val="23"/>
          <w:szCs w:val="23"/>
          <w:lang w:val="en-ZA"/>
        </w:rPr>
        <w:t>a system of accounting where transactions are brought to account in</w:t>
      </w:r>
      <w:r>
        <w:rPr>
          <w:rFonts w:cs="Times New Roman"/>
          <w:sz w:val="23"/>
          <w:szCs w:val="23"/>
          <w:lang w:val="en-ZA"/>
        </w:rPr>
        <w:t xml:space="preserve"> </w:t>
      </w:r>
      <w:r w:rsidRPr="00D95AAF">
        <w:rPr>
          <w:rFonts w:cs="Times New Roman"/>
          <w:sz w:val="23"/>
          <w:szCs w:val="23"/>
          <w:lang w:val="en-ZA"/>
        </w:rPr>
        <w:t>the financial year in which they occur irrespective of whether cash is paid or</w:t>
      </w:r>
      <w:r>
        <w:rPr>
          <w:rFonts w:cs="Times New Roman"/>
          <w:sz w:val="23"/>
          <w:szCs w:val="23"/>
          <w:lang w:val="en-ZA"/>
        </w:rPr>
        <w:t xml:space="preserve"> </w:t>
      </w:r>
      <w:r w:rsidRPr="00D95AAF">
        <w:rPr>
          <w:rFonts w:cs="Times New Roman"/>
          <w:sz w:val="23"/>
          <w:szCs w:val="23"/>
          <w:lang w:val="en-ZA"/>
        </w:rPr>
        <w:t>received in respect of such transactions during the financial year concerned.</w:t>
      </w:r>
    </w:p>
    <w:p w:rsidR="00D95AAF" w:rsidRP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</w:p>
    <w:p w:rsidR="00D95AAF" w:rsidRP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  <w:r>
        <w:rPr>
          <w:rFonts w:cs="Times New Roman"/>
          <w:sz w:val="23"/>
          <w:szCs w:val="23"/>
          <w:lang w:val="en-ZA"/>
        </w:rPr>
        <w:t xml:space="preserve">The </w:t>
      </w:r>
      <w:r w:rsidRPr="00D95AAF">
        <w:rPr>
          <w:rFonts w:cs="Times New Roman"/>
          <w:sz w:val="23"/>
          <w:szCs w:val="23"/>
          <w:lang w:val="en-ZA"/>
        </w:rPr>
        <w:t>municipality will fund its budget based on the endeavour</w:t>
      </w:r>
      <w:r>
        <w:rPr>
          <w:rFonts w:cs="Times New Roman"/>
          <w:sz w:val="23"/>
          <w:szCs w:val="23"/>
          <w:lang w:val="en-ZA"/>
        </w:rPr>
        <w:t>s</w:t>
      </w:r>
      <w:r w:rsidRPr="00D95AAF">
        <w:rPr>
          <w:rFonts w:cs="Times New Roman"/>
          <w:sz w:val="23"/>
          <w:szCs w:val="23"/>
          <w:lang w:val="en-ZA"/>
        </w:rPr>
        <w:t xml:space="preserve"> to meet the</w:t>
      </w:r>
      <w:r>
        <w:rPr>
          <w:rFonts w:cs="Times New Roman"/>
          <w:sz w:val="23"/>
          <w:szCs w:val="23"/>
          <w:lang w:val="en-ZA"/>
        </w:rPr>
        <w:t xml:space="preserve"> amongst other the </w:t>
      </w:r>
      <w:r w:rsidRPr="00D95AAF">
        <w:rPr>
          <w:rFonts w:cs="Times New Roman"/>
          <w:sz w:val="23"/>
          <w:szCs w:val="23"/>
          <w:lang w:val="en-ZA"/>
        </w:rPr>
        <w:t xml:space="preserve">following national objectives; </w:t>
      </w:r>
      <w:r>
        <w:rPr>
          <w:rFonts w:cs="Times New Roman"/>
          <w:sz w:val="23"/>
          <w:szCs w:val="23"/>
          <w:lang w:val="en-ZA"/>
        </w:rPr>
        <w:t>being to-</w:t>
      </w:r>
    </w:p>
    <w:p w:rsidR="00D95AAF" w:rsidRDefault="00D95AAF" w:rsidP="00D95A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 New Roman"/>
          <w:sz w:val="23"/>
          <w:szCs w:val="23"/>
          <w:lang w:val="en-ZA"/>
        </w:rPr>
      </w:pP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Protect the poor;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Build capacity for long-term growth;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Sustain employment growth;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Maintain sustainable debt level; and</w:t>
      </w:r>
    </w:p>
    <w:p w:rsidR="00D95AAF" w:rsidRPr="00D95AAF" w:rsidRDefault="00D95AAF" w:rsidP="00E516B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95AAF">
        <w:rPr>
          <w:rFonts w:cs="Times New Roman"/>
          <w:sz w:val="23"/>
          <w:szCs w:val="23"/>
          <w:lang w:val="en-ZA"/>
        </w:rPr>
        <w:t>Address sectoral barriers to growth and investment.</w:t>
      </w:r>
    </w:p>
    <w:p w:rsidR="00D95AAF" w:rsidRDefault="00D95AAF" w:rsidP="00876D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Default="006641FD" w:rsidP="00876D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 xml:space="preserve">The funding of the operating and capital budgets is done on an annual basis for the MTREF period. The budget is then balanced from an accounting 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(accrual) </w:t>
      </w:r>
      <w:r w:rsidRPr="00D51533">
        <w:rPr>
          <w:rFonts w:cs="Arial"/>
          <w:color w:val="000000"/>
          <w:sz w:val="23"/>
          <w:szCs w:val="23"/>
          <w:lang w:val="en-ZA"/>
        </w:rPr>
        <w:t>as well as a cash perspective. The impact of movements in the Statement of Financial Position is taken into account when considering the balancing of the budget.</w:t>
      </w:r>
    </w:p>
    <w:p w:rsidR="00B62375" w:rsidRPr="00B62375" w:rsidRDefault="00B62375" w:rsidP="00876D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2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eastAsia="BatangChe" w:hAnsiTheme="minorHAnsi" w:cs="Arial"/>
          <w:b/>
          <w:color w:val="C00000"/>
          <w:sz w:val="24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Projected billings, </w:t>
      </w:r>
      <w:r w:rsidR="00D95AAF">
        <w:rPr>
          <w:rFonts w:asciiTheme="minorHAnsi" w:eastAsia="BatangChe" w:hAnsiTheme="minorHAnsi" w:cs="Arial"/>
          <w:b/>
          <w:color w:val="C00000"/>
          <w:sz w:val="24"/>
        </w:rPr>
        <w:t>C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ollections and </w:t>
      </w:r>
      <w:r w:rsidR="00D95AAF">
        <w:rPr>
          <w:rFonts w:asciiTheme="minorHAnsi" w:eastAsia="BatangChe" w:hAnsiTheme="minorHAnsi" w:cs="Arial"/>
          <w:b/>
          <w:color w:val="C00000"/>
          <w:sz w:val="24"/>
        </w:rPr>
        <w:t>D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irect </w:t>
      </w:r>
      <w:r w:rsidR="00D95AAF">
        <w:rPr>
          <w:rFonts w:asciiTheme="minorHAnsi" w:eastAsia="BatangChe" w:hAnsiTheme="minorHAnsi" w:cs="Arial"/>
          <w:b/>
          <w:color w:val="C00000"/>
          <w:sz w:val="24"/>
        </w:rPr>
        <w:t>R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>evenue</w:t>
      </w:r>
    </w:p>
    <w:p w:rsidR="006641FD" w:rsidRPr="00D51533" w:rsidRDefault="006641FD" w:rsidP="00B6237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 xml:space="preserve">These projections are prepared in accordance </w:t>
      </w:r>
      <w:r w:rsidR="00B62375">
        <w:rPr>
          <w:rFonts w:cs="Arial"/>
          <w:color w:val="000000"/>
          <w:sz w:val="23"/>
          <w:szCs w:val="23"/>
          <w:lang w:val="en-ZA"/>
        </w:rPr>
        <w:t>with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 the following annual approved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council policies:</w:t>
      </w:r>
    </w:p>
    <w:p w:rsidR="00B62375" w:rsidRDefault="00B62375" w:rsidP="00B62375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The Rates Policy which sets out the manner in which the municipality may impose rates on property;</w:t>
      </w:r>
    </w:p>
    <w:p w:rsidR="006641FD" w:rsidRPr="00D51533" w:rsidRDefault="006641FD" w:rsidP="00E51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 xml:space="preserve">The Tariff Policy which guides the annual setting (or revision) of tariffs; and </w:t>
      </w:r>
    </w:p>
    <w:p w:rsidR="006641FD" w:rsidRPr="00D51533" w:rsidRDefault="006641FD" w:rsidP="00E516B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lastRenderedPageBreak/>
        <w:t>The policy is applicable to all tariffs for electricity, water, sanitation and solid waste services provided by the municipality. This policy is also applicable to all sundry tariffs.</w:t>
      </w:r>
    </w:p>
    <w:p w:rsidR="00876D08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color w:val="000000"/>
          <w:sz w:val="22"/>
          <w:szCs w:val="23"/>
          <w:lang w:val="en-ZA"/>
        </w:rPr>
      </w:pPr>
    </w:p>
    <w:p w:rsidR="006641FD" w:rsidRPr="00B62375" w:rsidRDefault="006641FD" w:rsidP="00E516B3">
      <w:pPr>
        <w:pStyle w:val="Heading1"/>
        <w:numPr>
          <w:ilvl w:val="0"/>
          <w:numId w:val="8"/>
        </w:numPr>
        <w:spacing w:before="0" w:after="0" w:line="360" w:lineRule="auto"/>
        <w:ind w:hanging="578"/>
        <w:jc w:val="both"/>
        <w:rPr>
          <w:rFonts w:asciiTheme="minorHAnsi" w:hAnsiTheme="minorHAnsi" w:cs="Arial"/>
          <w:b/>
          <w:bCs/>
          <w:color w:val="000000"/>
          <w:sz w:val="22"/>
          <w:szCs w:val="23"/>
          <w:lang w:val="en-ZA"/>
        </w:rPr>
      </w:pP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Funding sources for </w:t>
      </w:r>
      <w:r w:rsidR="00B62375">
        <w:rPr>
          <w:rFonts w:asciiTheme="minorHAnsi" w:eastAsia="BatangChe" w:hAnsiTheme="minorHAnsi" w:cs="Arial"/>
          <w:b/>
          <w:color w:val="C00000"/>
          <w:sz w:val="24"/>
        </w:rPr>
        <w:t xml:space="preserve">the </w:t>
      </w:r>
      <w:r w:rsidR="00E13575">
        <w:rPr>
          <w:rFonts w:asciiTheme="minorHAnsi" w:eastAsia="BatangChe" w:hAnsiTheme="minorHAnsi" w:cs="Arial"/>
          <w:b/>
          <w:color w:val="C00000"/>
          <w:sz w:val="24"/>
        </w:rPr>
        <w:t>O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 xml:space="preserve">perating and </w:t>
      </w:r>
      <w:r w:rsidR="00E13575">
        <w:rPr>
          <w:rFonts w:asciiTheme="minorHAnsi" w:eastAsia="BatangChe" w:hAnsiTheme="minorHAnsi" w:cs="Arial"/>
          <w:b/>
          <w:color w:val="C00000"/>
          <w:sz w:val="24"/>
        </w:rPr>
        <w:t>C</w:t>
      </w:r>
      <w:r w:rsidRPr="00B62375">
        <w:rPr>
          <w:rFonts w:asciiTheme="minorHAnsi" w:eastAsia="BatangChe" w:hAnsiTheme="minorHAnsi" w:cs="Arial"/>
          <w:b/>
          <w:color w:val="C00000"/>
          <w:sz w:val="24"/>
        </w:rPr>
        <w:t>apital budget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000000"/>
          <w:sz w:val="23"/>
          <w:szCs w:val="23"/>
          <w:lang w:val="en-ZA"/>
        </w:rPr>
      </w:pPr>
    </w:p>
    <w:p w:rsidR="006641FD" w:rsidRPr="00D51533" w:rsidRDefault="00D95AAF" w:rsidP="00D95AA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C00000"/>
          <w:sz w:val="23"/>
          <w:szCs w:val="23"/>
          <w:lang w:val="en-ZA"/>
        </w:rPr>
      </w:pPr>
      <w:r>
        <w:rPr>
          <w:rFonts w:cs="Arial"/>
          <w:b/>
          <w:bCs/>
          <w:color w:val="C00000"/>
          <w:sz w:val="23"/>
          <w:szCs w:val="23"/>
          <w:lang w:val="en-ZA"/>
        </w:rPr>
        <w:t>5.1</w:t>
      </w:r>
      <w:r>
        <w:rPr>
          <w:rFonts w:cs="Arial"/>
          <w:b/>
          <w:bCs/>
          <w:color w:val="C00000"/>
          <w:sz w:val="23"/>
          <w:szCs w:val="23"/>
          <w:lang w:val="en-ZA"/>
        </w:rPr>
        <w:tab/>
      </w:r>
      <w:r w:rsidR="00B62375">
        <w:rPr>
          <w:rFonts w:cs="Arial"/>
          <w:b/>
          <w:bCs/>
          <w:color w:val="C00000"/>
          <w:sz w:val="23"/>
          <w:szCs w:val="23"/>
          <w:lang w:val="en-ZA"/>
        </w:rPr>
        <w:t xml:space="preserve">The </w:t>
      </w:r>
      <w:r w:rsidR="006641FD" w:rsidRPr="00D51533">
        <w:rPr>
          <w:rFonts w:cs="Arial"/>
          <w:b/>
          <w:bCs/>
          <w:color w:val="C00000"/>
          <w:sz w:val="23"/>
          <w:szCs w:val="23"/>
          <w:lang w:val="en-ZA"/>
        </w:rPr>
        <w:t>Operating Budget</w:t>
      </w:r>
    </w:p>
    <w:p w:rsidR="006641FD" w:rsidRPr="00D51533" w:rsidRDefault="006641FD" w:rsidP="00B62375">
      <w:pPr>
        <w:autoSpaceDE w:val="0"/>
        <w:autoSpaceDN w:val="0"/>
        <w:adjustRightInd w:val="0"/>
        <w:spacing w:after="0" w:line="360" w:lineRule="auto"/>
        <w:ind w:left="142" w:firstLine="578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The operating budget shall be financed from the following sources: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Service Charges</w:t>
      </w:r>
      <w:r w:rsidR="00876D08" w:rsidRPr="00D51533">
        <w:rPr>
          <w:rFonts w:cs="Arial"/>
          <w:b/>
          <w:color w:val="C00000"/>
          <w:sz w:val="23"/>
          <w:szCs w:val="23"/>
          <w:lang w:val="en-ZA"/>
        </w:rPr>
        <w:t xml:space="preserve"> such as;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Electricity Charges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Water Sales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Refuse Removal Fees</w:t>
      </w:r>
    </w:p>
    <w:p w:rsidR="006641FD" w:rsidRPr="00D51533" w:rsidRDefault="006641FD" w:rsidP="00E516B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Sewerage Fees</w:t>
      </w:r>
    </w:p>
    <w:p w:rsidR="006641FD" w:rsidRPr="00D51533" w:rsidRDefault="006641FD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Property Taxes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Increases in tariffs and rates will be based on actual billed revenue and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as far as possible be limited to inflation plus an additional percentage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increase to accommodate the growth of the town and more importantly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to remain affordable and realistic. Detailed information can be found in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the Tariff Policy.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Grants &amp; Subsidies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Grants and subsidies shall be based on all the gazetted grants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and subsidies plus all other subsidies received by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organization.</w:t>
      </w:r>
    </w:p>
    <w:p w:rsidR="00876D08" w:rsidRPr="00D51533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Rental Fees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Fees for rental property will be budgeted for based on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percentage growth rate as determined by Financial Services for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 particular budget year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.</w:t>
      </w:r>
    </w:p>
    <w:p w:rsidR="00876D08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E13575" w:rsidRDefault="00E13575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E13575" w:rsidRPr="00D51533" w:rsidRDefault="00E13575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Fines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Fees for fines will be budgeted for based on the actual income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received in the preceding year and the percentage growth rate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as determined by Financial Services for a particular budget year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.</w:t>
      </w:r>
    </w:p>
    <w:p w:rsidR="00876D08" w:rsidRDefault="00876D08" w:rsidP="00876D08">
      <w:pPr>
        <w:pStyle w:val="ListParagraph"/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D51533">
        <w:rPr>
          <w:rFonts w:cs="Arial"/>
          <w:b/>
          <w:color w:val="C00000"/>
          <w:sz w:val="23"/>
          <w:szCs w:val="23"/>
          <w:lang w:val="en-ZA"/>
        </w:rPr>
        <w:t>Other Income</w:t>
      </w:r>
    </w:p>
    <w:p w:rsidR="006641FD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All other income items will be budgeted for based on the actual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income received in the preceding year and the percentage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growth rate as determined by Financial Services for a particular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budget year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.</w:t>
      </w:r>
    </w:p>
    <w:p w:rsidR="00B62375" w:rsidRPr="00D51533" w:rsidRDefault="00B62375" w:rsidP="00B62375">
      <w:pPr>
        <w:pStyle w:val="ListParagraph"/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</w:p>
    <w:p w:rsidR="006641FD" w:rsidRPr="00D51533" w:rsidRDefault="00D95AAF" w:rsidP="00D95AA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>
        <w:rPr>
          <w:rFonts w:cs="Arial"/>
          <w:b/>
          <w:bCs/>
          <w:color w:val="C00000"/>
          <w:sz w:val="24"/>
          <w:szCs w:val="23"/>
          <w:lang w:val="en-ZA"/>
        </w:rPr>
        <w:t>5.2</w:t>
      </w:r>
      <w:r>
        <w:rPr>
          <w:rFonts w:cs="Arial"/>
          <w:b/>
          <w:bCs/>
          <w:color w:val="C00000"/>
          <w:sz w:val="24"/>
          <w:szCs w:val="23"/>
          <w:lang w:val="en-ZA"/>
        </w:rPr>
        <w:tab/>
      </w:r>
      <w:r>
        <w:rPr>
          <w:rFonts w:cs="Arial"/>
          <w:b/>
          <w:bCs/>
          <w:color w:val="C00000"/>
          <w:sz w:val="24"/>
          <w:szCs w:val="23"/>
          <w:lang w:val="en-ZA"/>
        </w:rPr>
        <w:tab/>
      </w:r>
      <w:r w:rsid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The </w:t>
      </w:r>
      <w:r w:rsidR="006641FD" w:rsidRPr="00D51533">
        <w:rPr>
          <w:rFonts w:cs="Arial"/>
          <w:b/>
          <w:bCs/>
          <w:color w:val="C00000"/>
          <w:sz w:val="24"/>
          <w:szCs w:val="23"/>
          <w:lang w:val="en-ZA"/>
        </w:rPr>
        <w:t>Capital Budget</w:t>
      </w:r>
    </w:p>
    <w:p w:rsidR="00E13575" w:rsidRPr="00E13575" w:rsidRDefault="00E13575" w:rsidP="00E13575">
      <w:pPr>
        <w:autoSpaceDE w:val="0"/>
        <w:autoSpaceDN w:val="0"/>
        <w:adjustRightInd w:val="0"/>
        <w:spacing w:before="120" w:after="120" w:line="360" w:lineRule="auto"/>
        <w:ind w:left="720" w:hanging="578"/>
        <w:jc w:val="both"/>
        <w:rPr>
          <w:rFonts w:cs="Arial"/>
          <w:b/>
          <w:color w:val="C00000"/>
          <w:sz w:val="23"/>
          <w:szCs w:val="23"/>
          <w:lang w:val="en-ZA"/>
        </w:rPr>
      </w:pPr>
      <w:r w:rsidRPr="00E13575">
        <w:rPr>
          <w:rFonts w:cs="Arial"/>
          <w:b/>
          <w:color w:val="C00000"/>
          <w:sz w:val="23"/>
          <w:szCs w:val="23"/>
          <w:lang w:val="en-ZA"/>
        </w:rPr>
        <w:t>5.2.1</w:t>
      </w:r>
      <w:r w:rsidRPr="00E13575">
        <w:rPr>
          <w:rFonts w:cs="Arial"/>
          <w:b/>
          <w:color w:val="C00000"/>
          <w:sz w:val="23"/>
          <w:szCs w:val="23"/>
          <w:lang w:val="en-ZA"/>
        </w:rPr>
        <w:tab/>
      </w:r>
      <w:r w:rsidR="00656056" w:rsidRPr="00E13575">
        <w:rPr>
          <w:rFonts w:cs="Arial"/>
          <w:b/>
          <w:color w:val="C00000"/>
          <w:sz w:val="23"/>
          <w:szCs w:val="23"/>
          <w:lang w:val="en-ZA"/>
        </w:rPr>
        <w:t>Capital projects may only be funded</w:t>
      </w:r>
      <w:r w:rsidRPr="00E13575">
        <w:rPr>
          <w:rFonts w:cs="Arial"/>
          <w:b/>
          <w:color w:val="C00000"/>
          <w:sz w:val="23"/>
          <w:szCs w:val="23"/>
          <w:lang w:val="en-ZA"/>
        </w:rPr>
        <w:t>;</w:t>
      </w:r>
    </w:p>
    <w:p w:rsid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 xml:space="preserve"> if approved in terms of an Integrated Development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Plan of the municipality or a council resolution.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The municipality may spend mone</w:t>
      </w:r>
      <w:r>
        <w:rPr>
          <w:rFonts w:cs="Arial"/>
          <w:color w:val="292526"/>
          <w:sz w:val="23"/>
          <w:szCs w:val="23"/>
          <w:lang w:val="en-ZA"/>
        </w:rPr>
        <w:t>y on a capital project only;</w:t>
      </w:r>
    </w:p>
    <w:p w:rsidR="00656056" w:rsidRP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>if the money for the project, excluding the cost of feasibility studies conducted by or on behalf of the municipality, has been appropriated in the capital budget;</w:t>
      </w:r>
    </w:p>
    <w:p w:rsidR="00656056" w:rsidRP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>provisions relating to contracts having future budgetary implications in terms of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section 33 has been complied with, to the extent that that section may be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applicable to the project; and</w:t>
      </w:r>
    </w:p>
    <w:p w:rsidR="00656056" w:rsidRPr="00656056" w:rsidRDefault="00656056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656056">
        <w:rPr>
          <w:rFonts w:cs="Arial"/>
          <w:color w:val="292526"/>
          <w:sz w:val="23"/>
          <w:szCs w:val="23"/>
          <w:lang w:val="en-ZA"/>
        </w:rPr>
        <w:t xml:space="preserve">the </w:t>
      </w:r>
      <w:r>
        <w:rPr>
          <w:rFonts w:cs="Arial"/>
          <w:color w:val="292526"/>
          <w:sz w:val="23"/>
          <w:szCs w:val="23"/>
          <w:lang w:val="en-ZA"/>
        </w:rPr>
        <w:t xml:space="preserve">considered </w:t>
      </w:r>
      <w:r w:rsidRPr="00656056">
        <w:rPr>
          <w:rFonts w:cs="Arial"/>
          <w:color w:val="292526"/>
          <w:sz w:val="23"/>
          <w:szCs w:val="23"/>
          <w:lang w:val="en-ZA"/>
        </w:rPr>
        <w:t>sources of funding are available with reference to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acceptable documentation in terms of regulation 10 2(a) (b) and (c) of the Budget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and Reporting Regulations and have not been</w:t>
      </w:r>
      <w:r>
        <w:rPr>
          <w:rFonts w:cs="Arial"/>
          <w:color w:val="292526"/>
          <w:sz w:val="23"/>
          <w:szCs w:val="23"/>
          <w:lang w:val="en-ZA"/>
        </w:rPr>
        <w:t xml:space="preserve"> </w:t>
      </w:r>
      <w:r w:rsidRPr="00656056">
        <w:rPr>
          <w:rFonts w:cs="Arial"/>
          <w:color w:val="292526"/>
          <w:sz w:val="23"/>
          <w:szCs w:val="23"/>
          <w:lang w:val="en-ZA"/>
        </w:rPr>
        <w:t>committed for other purposes.</w:t>
      </w:r>
    </w:p>
    <w:p w:rsidR="00656056" w:rsidRDefault="00656056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292526"/>
          <w:sz w:val="23"/>
          <w:szCs w:val="23"/>
          <w:lang w:val="en-ZA"/>
        </w:rPr>
      </w:pPr>
    </w:p>
    <w:p w:rsidR="00656056" w:rsidRPr="00656056" w:rsidRDefault="00E13575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C00000"/>
          <w:sz w:val="23"/>
          <w:szCs w:val="23"/>
          <w:lang w:val="en-ZA"/>
        </w:rPr>
      </w:pPr>
      <w:r>
        <w:rPr>
          <w:rFonts w:cs="Arial"/>
          <w:b/>
          <w:bCs/>
          <w:color w:val="C00000"/>
          <w:sz w:val="23"/>
          <w:szCs w:val="23"/>
          <w:lang w:val="en-ZA"/>
        </w:rPr>
        <w:t>5.2.2</w:t>
      </w:r>
      <w:r>
        <w:rPr>
          <w:rFonts w:cs="Arial"/>
          <w:b/>
          <w:bCs/>
          <w:color w:val="C00000"/>
          <w:sz w:val="23"/>
          <w:szCs w:val="23"/>
          <w:lang w:val="en-ZA"/>
        </w:rPr>
        <w:tab/>
      </w:r>
      <w:r w:rsidR="00656056" w:rsidRPr="00656056">
        <w:rPr>
          <w:rFonts w:cs="Arial"/>
          <w:b/>
          <w:bCs/>
          <w:color w:val="C00000"/>
          <w:sz w:val="23"/>
          <w:szCs w:val="23"/>
          <w:lang w:val="en-ZA"/>
        </w:rPr>
        <w:t>The Capital Budget will be funded from:</w:t>
      </w:r>
    </w:p>
    <w:p w:rsidR="006641FD" w:rsidRPr="00B62375" w:rsidRDefault="006641FD" w:rsidP="00E516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Own Funding Sources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The Council shall establish a Capital Replacement Reserve (CRR) for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purpose of financing capital projects and the acquisition of capital assets.</w:t>
      </w:r>
    </w:p>
    <w:p w:rsidR="00876D08" w:rsidRPr="00D51533" w:rsidRDefault="00876D08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b/>
          <w:bCs/>
          <w:color w:val="292526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862"/>
        <w:jc w:val="both"/>
        <w:rPr>
          <w:rFonts w:cs="Arial"/>
          <w:b/>
          <w:bCs/>
          <w:color w:val="C00000"/>
          <w:sz w:val="23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3"/>
          <w:szCs w:val="23"/>
          <w:lang w:val="en-ZA"/>
        </w:rPr>
        <w:t>Other Funding Sources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22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The capital budget shall also be financed from external sources such as the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292526"/>
          <w:sz w:val="23"/>
          <w:szCs w:val="23"/>
          <w:lang w:val="en-ZA"/>
        </w:rPr>
        <w:t>following: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Grants and subsidies as allocated in the an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nual Division of Revenue of Act;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Grants and subsidies as all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ocated by Provincial government;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External Loans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Private Contributions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;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Contributions from the Capital Development Fund (developer’s contributions)</w:t>
      </w:r>
      <w:r w:rsidR="00876D08" w:rsidRPr="00D51533">
        <w:rPr>
          <w:rFonts w:cs="Arial"/>
          <w:color w:val="292526"/>
          <w:sz w:val="23"/>
          <w:szCs w:val="23"/>
          <w:lang w:val="en-ZA"/>
        </w:rPr>
        <w:t>; and</w:t>
      </w:r>
    </w:p>
    <w:p w:rsidR="006641FD" w:rsidRPr="00D51533" w:rsidRDefault="006641FD" w:rsidP="00E516B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92526"/>
          <w:sz w:val="23"/>
          <w:szCs w:val="23"/>
          <w:lang w:val="en-ZA"/>
        </w:rPr>
      </w:pPr>
      <w:r w:rsidRPr="00D51533">
        <w:rPr>
          <w:rFonts w:cs="Arial"/>
          <w:color w:val="292526"/>
          <w:sz w:val="23"/>
          <w:szCs w:val="23"/>
          <w:lang w:val="en-ZA"/>
        </w:rPr>
        <w:t>Any other financing source secured by the local authority.</w:t>
      </w:r>
    </w:p>
    <w:p w:rsidR="006641FD" w:rsidRPr="00D51533" w:rsidRDefault="006641FD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Provision for </w:t>
      </w:r>
      <w:r w:rsidR="00E13575">
        <w:rPr>
          <w:rFonts w:cs="Arial"/>
          <w:b/>
          <w:bCs/>
          <w:color w:val="C00000"/>
          <w:sz w:val="24"/>
          <w:szCs w:val="23"/>
          <w:lang w:val="en-ZA"/>
        </w:rPr>
        <w:t>R</w:t>
      </w: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evenue that will not be collected</w:t>
      </w:r>
    </w:p>
    <w:p w:rsidR="00B62375" w:rsidRDefault="006641FD" w:rsidP="00E516B3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municipality makes provision in the operational expenditure budget for</w:t>
      </w:r>
      <w:r w:rsidR="00692770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revenue that will not be collected in the budget year. </w:t>
      </w:r>
    </w:p>
    <w:p w:rsidR="006641FD" w:rsidRPr="00B62375" w:rsidRDefault="006641FD" w:rsidP="00E516B3">
      <w:pPr>
        <w:pStyle w:val="ListParagraph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This provision that will be</w:t>
      </w:r>
      <w:r w:rsidR="00692770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made </w:t>
      </w:r>
      <w:r w:rsidR="00B62375" w:rsidRPr="00B62375">
        <w:rPr>
          <w:rFonts w:cs="Arial"/>
          <w:color w:val="000000"/>
          <w:sz w:val="23"/>
          <w:szCs w:val="23"/>
          <w:lang w:val="en-ZA"/>
        </w:rPr>
        <w:t xml:space="preserve">is based on past trends in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payment rates. </w:t>
      </w:r>
    </w:p>
    <w:p w:rsidR="00692770" w:rsidRPr="00D51533" w:rsidRDefault="00692770" w:rsidP="00876D08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The funds the municipality can ex</w:t>
      </w:r>
      <w:r w:rsidR="00B62375">
        <w:rPr>
          <w:rFonts w:cs="Arial"/>
          <w:b/>
          <w:bCs/>
          <w:color w:val="C00000"/>
          <w:sz w:val="24"/>
          <w:szCs w:val="23"/>
          <w:lang w:val="en-ZA"/>
        </w:rPr>
        <w:t>pect to receive from investment</w:t>
      </w:r>
    </w:p>
    <w:p w:rsidR="00B62375" w:rsidRDefault="006641FD" w:rsidP="00E516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municipality makes provision in the operational revenue budget for revenue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that will be realized on investment. </w:t>
      </w:r>
    </w:p>
    <w:p w:rsidR="00B62375" w:rsidRDefault="006641FD" w:rsidP="00E516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 xml:space="preserve">The interest received on investment </w:t>
      </w:r>
      <w:r w:rsidR="00B62375">
        <w:rPr>
          <w:rFonts w:cs="Arial"/>
          <w:color w:val="000000"/>
          <w:sz w:val="23"/>
          <w:szCs w:val="23"/>
          <w:lang w:val="en-ZA"/>
        </w:rPr>
        <w:t xml:space="preserve">is included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in the revenue budget. </w:t>
      </w:r>
    </w:p>
    <w:p w:rsidR="006641FD" w:rsidRPr="00B62375" w:rsidRDefault="006641FD" w:rsidP="00E516B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This forecast will be based on projected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interest rates and projected investments for the period.</w:t>
      </w:r>
    </w:p>
    <w:p w:rsidR="00D51533" w:rsidRPr="00B62375" w:rsidRDefault="00D51533" w:rsidP="00D51533">
      <w:pPr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cs="Arial"/>
          <w:color w:val="C00000"/>
          <w:sz w:val="24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Proceeds from </w:t>
      </w:r>
      <w:r w:rsidR="00D51533" w:rsidRPr="00B62375">
        <w:rPr>
          <w:rFonts w:cs="Arial"/>
          <w:b/>
          <w:bCs/>
          <w:color w:val="C00000"/>
          <w:sz w:val="24"/>
          <w:szCs w:val="23"/>
          <w:lang w:val="en-ZA"/>
        </w:rPr>
        <w:t xml:space="preserve">the </w:t>
      </w: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transfer or disposal of assets</w:t>
      </w:r>
    </w:p>
    <w:p w:rsidR="006641FD" w:rsidRPr="00B62375" w:rsidRDefault="006641FD" w:rsidP="00E516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proceeds from transfer or disposal of assets will be budgeted in the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operational revenue budget.</w:t>
      </w:r>
    </w:p>
    <w:p w:rsidR="00D51533" w:rsidRPr="00D51533" w:rsidRDefault="00D51533" w:rsidP="00D5153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Borrowing requirement</w:t>
      </w:r>
      <w:r w:rsidR="00D51533" w:rsidRPr="00B62375">
        <w:rPr>
          <w:rFonts w:cs="Arial"/>
          <w:b/>
          <w:bCs/>
          <w:color w:val="C00000"/>
          <w:sz w:val="24"/>
          <w:szCs w:val="23"/>
          <w:lang w:val="en-ZA"/>
        </w:rPr>
        <w:t>s</w:t>
      </w:r>
    </w:p>
    <w:p w:rsidR="00B62375" w:rsidRDefault="006641FD" w:rsidP="00E516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The affordability of loans over the Medium Term Revenue and Expenditure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 xml:space="preserve">Framework (MTREF) period 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is </w:t>
      </w:r>
      <w:r w:rsidRPr="00B62375">
        <w:rPr>
          <w:rFonts w:cs="Arial"/>
          <w:color w:val="000000"/>
          <w:sz w:val="23"/>
          <w:szCs w:val="23"/>
          <w:lang w:val="en-ZA"/>
        </w:rPr>
        <w:t>determined before external loans are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considered.</w:t>
      </w:r>
    </w:p>
    <w:p w:rsidR="006641FD" w:rsidRPr="00B62375" w:rsidRDefault="006641FD" w:rsidP="00E516B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B62375">
        <w:rPr>
          <w:rFonts w:cs="Arial"/>
          <w:color w:val="000000"/>
          <w:sz w:val="23"/>
          <w:szCs w:val="23"/>
          <w:lang w:val="en-ZA"/>
        </w:rPr>
        <w:t>Capital costs (interest and redemption payments) should be within</w:t>
      </w:r>
      <w:r w:rsidR="00D51533" w:rsidRPr="00B62375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B62375">
        <w:rPr>
          <w:rFonts w:cs="Arial"/>
          <w:color w:val="000000"/>
          <w:sz w:val="23"/>
          <w:szCs w:val="23"/>
          <w:lang w:val="en-ZA"/>
        </w:rPr>
        <w:t>the acceptable norms and in terms of the Borrowing Policy.</w:t>
      </w:r>
    </w:p>
    <w:p w:rsidR="00D51533" w:rsidRDefault="00D51533" w:rsidP="00D5153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23"/>
          <w:szCs w:val="23"/>
          <w:lang w:val="en-ZA"/>
        </w:rPr>
      </w:pPr>
    </w:p>
    <w:p w:rsidR="00D95AAF" w:rsidRPr="00D51533" w:rsidRDefault="00D95AAF" w:rsidP="00D5153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B62375" w:rsidRDefault="006641FD" w:rsidP="00E516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color w:val="C00000"/>
          <w:sz w:val="24"/>
          <w:szCs w:val="23"/>
          <w:lang w:val="en-ZA"/>
        </w:rPr>
      </w:pPr>
      <w:r w:rsidRPr="00B62375">
        <w:rPr>
          <w:rFonts w:cs="Arial"/>
          <w:b/>
          <w:bCs/>
          <w:color w:val="C00000"/>
          <w:sz w:val="24"/>
          <w:szCs w:val="23"/>
          <w:lang w:val="en-ZA"/>
        </w:rPr>
        <w:t>Capital Replacement Reserve (CRR)</w:t>
      </w:r>
    </w:p>
    <w:p w:rsidR="00E13575" w:rsidRDefault="00E13575" w:rsidP="00E13575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Council shall establish a CRR for the purpose of financing capital projects and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the acquisition of assets.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Such reserve shall be established from the following sources of revenue: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Un-appropriated cash-backed surpluses to the extent that such surpluses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>are not required for operational purposes;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Interes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t on the investments of the CRR; </w:t>
      </w:r>
      <w:r w:rsidR="00A15A86" w:rsidRPr="00A15A86">
        <w:rPr>
          <w:rFonts w:cs="Arial"/>
          <w:color w:val="000000"/>
          <w:sz w:val="23"/>
          <w:szCs w:val="23"/>
        </w:rPr>
        <w:t>if the CRR is invested in a separate account or investment</w:t>
      </w:r>
      <w:r w:rsidRPr="00D51533">
        <w:rPr>
          <w:rFonts w:cs="Arial"/>
          <w:color w:val="000000"/>
          <w:sz w:val="23"/>
          <w:szCs w:val="23"/>
          <w:lang w:val="en-ZA"/>
        </w:rPr>
        <w:t>;</w:t>
      </w:r>
    </w:p>
    <w:p w:rsidR="006641FD" w:rsidRPr="00D51533" w:rsidRDefault="006641FD" w:rsidP="00E516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Additional amounts appropriated as contributions in each annual or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adjustments budget.</w:t>
      </w:r>
    </w:p>
    <w:p w:rsidR="00D51533" w:rsidRPr="00D51533" w:rsidRDefault="00D51533" w:rsidP="00D51533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color w:val="000000"/>
          <w:sz w:val="23"/>
          <w:szCs w:val="23"/>
          <w:lang w:val="en-ZA"/>
        </w:rPr>
      </w:pPr>
    </w:p>
    <w:p w:rsidR="006641FD" w:rsidRPr="00D51533" w:rsidRDefault="006641FD" w:rsidP="00E516B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Before any asset can be financed from the CRR the financing must be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available within the reserve 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>as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 cash 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because </w:t>
      </w:r>
      <w:r w:rsidRPr="00D51533">
        <w:rPr>
          <w:rFonts w:cs="Arial"/>
          <w:color w:val="000000"/>
          <w:sz w:val="23"/>
          <w:szCs w:val="23"/>
          <w:lang w:val="en-ZA"/>
        </w:rPr>
        <w:t>this fund must be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cash backed.</w:t>
      </w:r>
    </w:p>
    <w:p w:rsidR="006641FD" w:rsidRPr="00D51533" w:rsidRDefault="006641FD" w:rsidP="00E516B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color w:val="000000"/>
          <w:sz w:val="23"/>
          <w:szCs w:val="23"/>
          <w:lang w:val="en-ZA"/>
        </w:rPr>
      </w:pPr>
      <w:r w:rsidRPr="00D51533">
        <w:rPr>
          <w:rFonts w:cs="Arial"/>
          <w:color w:val="000000"/>
          <w:sz w:val="23"/>
          <w:szCs w:val="23"/>
          <w:lang w:val="en-ZA"/>
        </w:rPr>
        <w:t>If there is insufficient cash available to fund the CRR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>,</w:t>
      </w:r>
      <w:r w:rsidRPr="00D51533">
        <w:rPr>
          <w:rFonts w:cs="Arial"/>
          <w:color w:val="000000"/>
          <w:sz w:val="23"/>
          <w:szCs w:val="23"/>
          <w:lang w:val="en-ZA"/>
        </w:rPr>
        <w:t xml:space="preserve"> this reserve fund</w:t>
      </w:r>
      <w:r w:rsidR="00D51533" w:rsidRPr="00D51533">
        <w:rPr>
          <w:rFonts w:cs="Arial"/>
          <w:color w:val="000000"/>
          <w:sz w:val="23"/>
          <w:szCs w:val="23"/>
          <w:lang w:val="en-ZA"/>
        </w:rPr>
        <w:t xml:space="preserve"> will </w:t>
      </w:r>
      <w:r w:rsidRPr="00D51533">
        <w:rPr>
          <w:rFonts w:cs="Arial"/>
          <w:color w:val="000000"/>
          <w:sz w:val="23"/>
          <w:szCs w:val="23"/>
          <w:lang w:val="en-ZA"/>
        </w:rPr>
        <w:t>then be adjusted to equal the available cash;</w:t>
      </w:r>
    </w:p>
    <w:p w:rsidR="00D51533" w:rsidRPr="00D51533" w:rsidRDefault="00D51533" w:rsidP="00D51533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sz w:val="22"/>
          <w:szCs w:val="22"/>
          <w:lang w:val="en-ZA"/>
        </w:rPr>
      </w:pPr>
    </w:p>
    <w:p w:rsidR="00267B7E" w:rsidRDefault="00267B7E" w:rsidP="00B62375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sz w:val="22"/>
          <w:szCs w:val="22"/>
          <w:lang w:val="en-ZA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b/>
          <w:sz w:val="22"/>
          <w:szCs w:val="16"/>
          <w:lang w:val="en-ZA" w:eastAsia="en-US"/>
        </w:rPr>
      </w:pPr>
      <w:r w:rsidRPr="00DC6C48">
        <w:rPr>
          <w:rFonts w:ascii="Arial" w:eastAsia="Calibri" w:hAnsi="Arial" w:cs="Arial"/>
          <w:b/>
          <w:sz w:val="22"/>
          <w:szCs w:val="16"/>
          <w:lang w:val="en-ZA" w:eastAsia="en-US"/>
        </w:rPr>
        <w:t>Municipal Manager’s confirmation</w:t>
      </w: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  <w:r w:rsidRPr="00DC6C48">
        <w:rPr>
          <w:rFonts w:ascii="Arial" w:eastAsia="Calibri" w:hAnsi="Arial" w:cs="Arial"/>
          <w:sz w:val="22"/>
          <w:szCs w:val="16"/>
          <w:lang w:val="en-ZA" w:eastAsia="en-US"/>
        </w:rPr>
        <w:t>As approved by council at a meeting held on ___ May 2016</w:t>
      </w: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  <w:r w:rsidRPr="00DC6C48">
        <w:rPr>
          <w:rFonts w:ascii="Arial" w:eastAsia="Calibri" w:hAnsi="Arial" w:cs="Arial"/>
          <w:sz w:val="22"/>
          <w:szCs w:val="16"/>
          <w:lang w:val="en-ZA" w:eastAsia="en-US"/>
        </w:rPr>
        <w:t>Signed at Prince Albert on ___ May 2016</w:t>
      </w: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  <w:r w:rsidRPr="00DC6C48">
        <w:rPr>
          <w:rFonts w:ascii="Arial" w:eastAsia="Calibri" w:hAnsi="Arial" w:cs="Arial"/>
          <w:sz w:val="22"/>
          <w:szCs w:val="16"/>
          <w:lang w:val="en-ZA" w:eastAsia="en-US"/>
        </w:rPr>
        <w:t>___________________________</w:t>
      </w: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  <w:r w:rsidRPr="00DC6C48">
        <w:rPr>
          <w:rFonts w:ascii="Arial" w:eastAsia="Calibri" w:hAnsi="Arial" w:cs="Arial"/>
          <w:sz w:val="22"/>
          <w:szCs w:val="16"/>
          <w:lang w:val="en-ZA" w:eastAsia="en-US"/>
        </w:rPr>
        <w:t>HFW Mettler</w:t>
      </w: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</w:p>
    <w:p w:rsidR="00DC6C48" w:rsidRPr="00DC6C48" w:rsidRDefault="00DC6C48" w:rsidP="00DC6C48">
      <w:pPr>
        <w:spacing w:after="0" w:line="300" w:lineRule="auto"/>
        <w:ind w:firstLine="567"/>
        <w:jc w:val="both"/>
        <w:rPr>
          <w:rFonts w:ascii="Arial" w:eastAsia="Calibri" w:hAnsi="Arial" w:cs="Arial"/>
          <w:sz w:val="22"/>
          <w:szCs w:val="16"/>
          <w:lang w:val="en-ZA" w:eastAsia="en-US"/>
        </w:rPr>
      </w:pPr>
      <w:r w:rsidRPr="00DC6C48">
        <w:rPr>
          <w:rFonts w:ascii="Arial" w:eastAsia="Calibri" w:hAnsi="Arial" w:cs="Arial"/>
          <w:sz w:val="22"/>
          <w:szCs w:val="16"/>
          <w:lang w:val="en-ZA" w:eastAsia="en-US"/>
        </w:rPr>
        <w:t>Municipal Manager</w:t>
      </w:r>
    </w:p>
    <w:p w:rsidR="00DC6C48" w:rsidRPr="00DC6C48" w:rsidRDefault="00DC6C48" w:rsidP="00DC6C48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n-ZA" w:eastAsia="en-US"/>
        </w:rPr>
      </w:pPr>
    </w:p>
    <w:p w:rsidR="00DC6C48" w:rsidRPr="00D51533" w:rsidRDefault="00DC6C48" w:rsidP="00B62375">
      <w:pPr>
        <w:pStyle w:val="ListParagraph"/>
        <w:autoSpaceDE w:val="0"/>
        <w:autoSpaceDN w:val="0"/>
        <w:adjustRightInd w:val="0"/>
        <w:spacing w:after="0" w:line="360" w:lineRule="auto"/>
        <w:ind w:left="851"/>
        <w:jc w:val="both"/>
        <w:rPr>
          <w:rFonts w:cs="Arial"/>
          <w:sz w:val="22"/>
          <w:szCs w:val="22"/>
          <w:lang w:val="en-ZA"/>
        </w:rPr>
      </w:pPr>
    </w:p>
    <w:sectPr w:rsidR="00DC6C48" w:rsidRPr="00D51533" w:rsidSect="00B62375">
      <w:headerReference w:type="default" r:id="rId11"/>
      <w:footerReference w:type="default" r:id="rId12"/>
      <w:pgSz w:w="12240" w:h="15840" w:code="1"/>
      <w:pgMar w:top="-993" w:right="1555" w:bottom="1276" w:left="1555" w:header="864" w:footer="2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DC" w:rsidRDefault="007C40DC">
      <w:pPr>
        <w:spacing w:after="0" w:line="240" w:lineRule="auto"/>
      </w:pPr>
      <w:r>
        <w:separator/>
      </w:r>
    </w:p>
  </w:endnote>
  <w:endnote w:type="continuationSeparator" w:id="0">
    <w:p w:rsidR="007C40DC" w:rsidRDefault="007C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D1" w:rsidRDefault="00016ED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95421">
      <w:rPr>
        <w:noProof/>
      </w:rPr>
      <w:t>6</w:t>
    </w:r>
    <w:r>
      <w:fldChar w:fldCharType="end"/>
    </w:r>
    <w:r w:rsidR="00DC6C48">
      <w:t xml:space="preserve"> Tabled in council on 29 March 2016 and finally approved on ?? May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DC" w:rsidRDefault="007C40DC">
      <w:pPr>
        <w:spacing w:after="0" w:line="240" w:lineRule="auto"/>
      </w:pPr>
      <w:r>
        <w:separator/>
      </w:r>
    </w:p>
  </w:footnote>
  <w:footnote w:type="continuationSeparator" w:id="0">
    <w:p w:rsidR="007C40DC" w:rsidRDefault="007C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D1" w:rsidRPr="00DB7543" w:rsidRDefault="00016ED1" w:rsidP="00DB7543">
    <w:pPr>
      <w:pStyle w:val="Header"/>
    </w:pPr>
  </w:p>
  <w:p w:rsidR="00016ED1" w:rsidRDefault="00971FBD" w:rsidP="00971FBD">
    <w:pPr>
      <w:tabs>
        <w:tab w:val="left" w:pos="3203"/>
      </w:tabs>
    </w:pPr>
    <w:r>
      <w:tab/>
    </w:r>
  </w:p>
  <w:p w:rsidR="00016ED1" w:rsidRDefault="00016E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FFCA08" w:themeColor="accent1"/>
      </w:rPr>
    </w:lvl>
  </w:abstractNum>
  <w:abstractNum w:abstractNumId="5" w15:restartNumberingAfterBreak="0">
    <w:nsid w:val="02E95932"/>
    <w:multiLevelType w:val="hybridMultilevel"/>
    <w:tmpl w:val="CF2EA250"/>
    <w:lvl w:ilvl="0" w:tplc="1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8C51B49"/>
    <w:multiLevelType w:val="hybridMultilevel"/>
    <w:tmpl w:val="CD76E6D4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003DB1"/>
    <w:multiLevelType w:val="hybridMultilevel"/>
    <w:tmpl w:val="E012B308"/>
    <w:lvl w:ilvl="0" w:tplc="1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E5C28D1"/>
    <w:multiLevelType w:val="hybridMultilevel"/>
    <w:tmpl w:val="356E27A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9402B"/>
    <w:multiLevelType w:val="hybridMultilevel"/>
    <w:tmpl w:val="8EC0ECF8"/>
    <w:lvl w:ilvl="0" w:tplc="1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A904EA"/>
    <w:multiLevelType w:val="hybridMultilevel"/>
    <w:tmpl w:val="756C0A5E"/>
    <w:lvl w:ilvl="0" w:tplc="1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4BC63AB1"/>
    <w:multiLevelType w:val="hybridMultilevel"/>
    <w:tmpl w:val="C332E8CA"/>
    <w:lvl w:ilvl="0" w:tplc="04C0BD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4E3B83"/>
    <w:multiLevelType w:val="hybridMultilevel"/>
    <w:tmpl w:val="F5A20E9A"/>
    <w:lvl w:ilvl="0" w:tplc="7FE4BB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C00000"/>
        <w:sz w:val="24"/>
        <w:szCs w:val="24"/>
      </w:rPr>
    </w:lvl>
    <w:lvl w:ilvl="1" w:tplc="45DEA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B3F7B"/>
    <w:multiLevelType w:val="hybridMultilevel"/>
    <w:tmpl w:val="45262B0C"/>
    <w:lvl w:ilvl="0" w:tplc="1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1E71D48"/>
    <w:multiLevelType w:val="hybridMultilevel"/>
    <w:tmpl w:val="1C46FD04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1A4F6B"/>
    <w:multiLevelType w:val="hybridMultilevel"/>
    <w:tmpl w:val="F0DA9904"/>
    <w:lvl w:ilvl="0" w:tplc="9F0E766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16"/>
  </w:num>
  <w:num w:numId="10">
    <w:abstractNumId w:val="8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15"/>
  </w:num>
  <w:num w:numId="16">
    <w:abstractNumId w:val="5"/>
  </w:num>
  <w:num w:numId="17">
    <w:abstractNumId w:val="9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39"/>
    <w:rsid w:val="00003F04"/>
    <w:rsid w:val="00016ED1"/>
    <w:rsid w:val="00074E22"/>
    <w:rsid w:val="000A5F4F"/>
    <w:rsid w:val="000B2FC0"/>
    <w:rsid w:val="000D490E"/>
    <w:rsid w:val="000E6039"/>
    <w:rsid w:val="00111364"/>
    <w:rsid w:val="001249C5"/>
    <w:rsid w:val="00176E9A"/>
    <w:rsid w:val="001D07D4"/>
    <w:rsid w:val="001F6A94"/>
    <w:rsid w:val="002175BA"/>
    <w:rsid w:val="002346AB"/>
    <w:rsid w:val="00234A57"/>
    <w:rsid w:val="00267B7E"/>
    <w:rsid w:val="002735BF"/>
    <w:rsid w:val="0031633C"/>
    <w:rsid w:val="00325205"/>
    <w:rsid w:val="00356BB4"/>
    <w:rsid w:val="00356FF2"/>
    <w:rsid w:val="00387D0F"/>
    <w:rsid w:val="00395421"/>
    <w:rsid w:val="003B4FF1"/>
    <w:rsid w:val="003C4101"/>
    <w:rsid w:val="003C5F3D"/>
    <w:rsid w:val="003F3790"/>
    <w:rsid w:val="0041089A"/>
    <w:rsid w:val="00410F53"/>
    <w:rsid w:val="004149F6"/>
    <w:rsid w:val="00416652"/>
    <w:rsid w:val="004670A7"/>
    <w:rsid w:val="0049795C"/>
    <w:rsid w:val="004B0F01"/>
    <w:rsid w:val="004D7C41"/>
    <w:rsid w:val="00503D48"/>
    <w:rsid w:val="00515A6E"/>
    <w:rsid w:val="00527733"/>
    <w:rsid w:val="00571AB3"/>
    <w:rsid w:val="00585270"/>
    <w:rsid w:val="005B06D8"/>
    <w:rsid w:val="005F262F"/>
    <w:rsid w:val="00645326"/>
    <w:rsid w:val="006556E9"/>
    <w:rsid w:val="00656056"/>
    <w:rsid w:val="006641FD"/>
    <w:rsid w:val="00667779"/>
    <w:rsid w:val="00692770"/>
    <w:rsid w:val="006A056F"/>
    <w:rsid w:val="006B1741"/>
    <w:rsid w:val="006C649C"/>
    <w:rsid w:val="006D1BF7"/>
    <w:rsid w:val="007066ED"/>
    <w:rsid w:val="0072019B"/>
    <w:rsid w:val="00735C74"/>
    <w:rsid w:val="007471CD"/>
    <w:rsid w:val="00762AD5"/>
    <w:rsid w:val="007A1F6E"/>
    <w:rsid w:val="007C40DC"/>
    <w:rsid w:val="00837F9D"/>
    <w:rsid w:val="0084755F"/>
    <w:rsid w:val="00850CFA"/>
    <w:rsid w:val="00876D08"/>
    <w:rsid w:val="00883C42"/>
    <w:rsid w:val="008B2957"/>
    <w:rsid w:val="008B41CB"/>
    <w:rsid w:val="008B6C42"/>
    <w:rsid w:val="008D1AF4"/>
    <w:rsid w:val="009134A3"/>
    <w:rsid w:val="00965C38"/>
    <w:rsid w:val="00971FBD"/>
    <w:rsid w:val="009C5C9C"/>
    <w:rsid w:val="009D0839"/>
    <w:rsid w:val="00A15A86"/>
    <w:rsid w:val="00A30752"/>
    <w:rsid w:val="00A32C4A"/>
    <w:rsid w:val="00A4274B"/>
    <w:rsid w:val="00A7792C"/>
    <w:rsid w:val="00A867A3"/>
    <w:rsid w:val="00A94224"/>
    <w:rsid w:val="00B22AB6"/>
    <w:rsid w:val="00B2442D"/>
    <w:rsid w:val="00B36ED9"/>
    <w:rsid w:val="00B36FA3"/>
    <w:rsid w:val="00B45876"/>
    <w:rsid w:val="00B5192C"/>
    <w:rsid w:val="00B62375"/>
    <w:rsid w:val="00BD4F26"/>
    <w:rsid w:val="00C123A0"/>
    <w:rsid w:val="00C70C60"/>
    <w:rsid w:val="00C87FDD"/>
    <w:rsid w:val="00C9161D"/>
    <w:rsid w:val="00CB6D9C"/>
    <w:rsid w:val="00CC7728"/>
    <w:rsid w:val="00CD0E4F"/>
    <w:rsid w:val="00D30E86"/>
    <w:rsid w:val="00D42C89"/>
    <w:rsid w:val="00D44A8A"/>
    <w:rsid w:val="00D51533"/>
    <w:rsid w:val="00D53EB5"/>
    <w:rsid w:val="00D54650"/>
    <w:rsid w:val="00D74E8B"/>
    <w:rsid w:val="00D95AAF"/>
    <w:rsid w:val="00D96F75"/>
    <w:rsid w:val="00DB7543"/>
    <w:rsid w:val="00DC6C48"/>
    <w:rsid w:val="00DF3C17"/>
    <w:rsid w:val="00DF7CA5"/>
    <w:rsid w:val="00E13575"/>
    <w:rsid w:val="00E516B3"/>
    <w:rsid w:val="00E71AF9"/>
    <w:rsid w:val="00E71C99"/>
    <w:rsid w:val="00EB0006"/>
    <w:rsid w:val="00EC4812"/>
    <w:rsid w:val="00F0035F"/>
    <w:rsid w:val="00F74926"/>
    <w:rsid w:val="00F810EB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CB04C0A-EB38-459F-9C3D-19EF70A5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543"/>
  </w:style>
  <w:style w:type="paragraph" w:styleId="Heading1">
    <w:name w:val="heading 1"/>
    <w:basedOn w:val="Normal"/>
    <w:next w:val="Normal"/>
    <w:link w:val="Heading1Char"/>
    <w:uiPriority w:val="9"/>
    <w:qFormat/>
    <w:rsid w:val="00DB754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54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54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5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5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5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5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5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54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FFDF6A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75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754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543"/>
    <w:rPr>
      <w:rFonts w:asciiTheme="majorHAnsi" w:eastAsiaTheme="majorEastAsia" w:hAnsiTheme="majorHAnsi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B7543"/>
    <w:pPr>
      <w:spacing w:before="160"/>
      <w:ind w:left="720" w:right="720"/>
      <w:jc w:val="center"/>
    </w:pPr>
    <w:rPr>
      <w:i/>
      <w:iCs/>
      <w:color w:val="A06928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7543"/>
    <w:rPr>
      <w:i/>
      <w:iCs/>
      <w:color w:val="A06928" w:themeColor="accent3" w:themeShade="BF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FFCA08" w:themeColor="accent1" w:frame="1"/>
        <w:left w:val="single" w:sz="2" w:space="10" w:color="FFCA08" w:themeColor="accent1" w:frame="1"/>
        <w:bottom w:val="single" w:sz="2" w:space="10" w:color="FFCA08" w:themeColor="accent1" w:frame="1"/>
        <w:right w:val="single" w:sz="2" w:space="10" w:color="FFCA08" w:themeColor="accent1" w:frame="1"/>
      </w:pBdr>
      <w:ind w:left="1152" w:right="1152"/>
    </w:pPr>
    <w:rPr>
      <w:i/>
      <w:iCs/>
      <w:color w:val="FFCA0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DB7543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754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</w:rPr>
      <w:tblPr/>
      <w:tcPr>
        <w:shd w:val="clear" w:color="auto" w:fill="FFE9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</w:rPr>
      <w:tblPr/>
      <w:tcPr>
        <w:shd w:val="clear" w:color="auto" w:fill="FCD3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3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7D8" w:themeFill="accent3" w:themeFillTint="33"/>
    </w:tcPr>
    <w:tblStylePr w:type="firstRow">
      <w:rPr>
        <w:b/>
        <w:bCs/>
      </w:rPr>
      <w:tblPr/>
      <w:tcPr>
        <w:shd w:val="clear" w:color="auto" w:fill="EB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</w:rPr>
      <w:tblPr/>
      <w:tcPr>
        <w:shd w:val="clear" w:color="auto" w:fill="F7C5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3" w:themeFill="accent5" w:themeFillTint="33"/>
    </w:tcPr>
    <w:tblStylePr w:type="firstRow">
      <w:rPr>
        <w:b/>
        <w:bCs/>
      </w:rPr>
      <w:tblPr/>
      <w:tcPr>
        <w:shd w:val="clear" w:color="auto" w:fill="F5B5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5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</w:rPr>
      <w:tblPr/>
      <w:tcPr>
        <w:shd w:val="clear" w:color="auto" w:fill="D7C3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3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590F" w:themeFill="accent4" w:themeFillShade="CC"/>
      </w:tcPr>
    </w:tblStylePr>
    <w:tblStylePr w:type="lastRow">
      <w:rPr>
        <w:b/>
        <w:bCs/>
        <w:color w:val="BE59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702B" w:themeFill="accent3" w:themeFillShade="CC"/>
      </w:tcPr>
    </w:tblStylePr>
    <w:tblStylePr w:type="lastRow">
      <w:rPr>
        <w:b/>
        <w:bCs/>
        <w:color w:val="AA70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5353" w:themeFill="accent6" w:themeFillShade="CC"/>
      </w:tcPr>
    </w:tblStylePr>
    <w:tblStylePr w:type="lastRow">
      <w:rPr>
        <w:b/>
        <w:bCs/>
        <w:color w:val="7D53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3515" w:themeFill="accent5" w:themeFillShade="CC"/>
      </w:tcPr>
    </w:tblStylePr>
    <w:tblStylePr w:type="lastRow">
      <w:rPr>
        <w:b/>
        <w:bCs/>
        <w:color w:val="BE35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B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B00" w:themeColor="accent1" w:themeShade="99"/>
          <w:insideV w:val="nil"/>
        </w:tcBorders>
        <w:shd w:val="clear" w:color="auto" w:fill="9D7B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B00" w:themeFill="accent1" w:themeFillShade="99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4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8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805" w:themeColor="accent2" w:themeShade="99"/>
          <w:insideV w:val="nil"/>
        </w:tcBorders>
        <w:shd w:val="clear" w:color="auto" w:fill="A158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805" w:themeFill="accent2" w:themeFillShade="99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BC8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016" w:themeColor="accent4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54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5420" w:themeColor="accent3" w:themeShade="99"/>
          <w:insideV w:val="nil"/>
        </w:tcBorders>
        <w:shd w:val="clear" w:color="auto" w:fill="8054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5420" w:themeFill="accent3" w:themeFillShade="99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8D3E" w:themeColor="accent3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B" w:themeColor="accent4" w:themeShade="99"/>
          <w:insideV w:val="nil"/>
        </w:tcBorders>
        <w:shd w:val="clear" w:color="auto" w:fill="8E42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B" w:themeFill="accent4" w:themeFillShade="99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5B7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6A6A" w:themeColor="accent6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28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2810" w:themeColor="accent5" w:themeShade="99"/>
          <w:insideV w:val="nil"/>
        </w:tcBorders>
        <w:shd w:val="clear" w:color="auto" w:fill="8E28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810" w:themeFill="accent5" w:themeFillShade="99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2A3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4823" w:themeColor="accent5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E3E" w:themeColor="accent6" w:themeShade="99"/>
          <w:insideV w:val="nil"/>
        </w:tcBorders>
        <w:shd w:val="clear" w:color="auto" w:fill="5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E3E" w:themeFill="accent6" w:themeFillShade="99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CDB4B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6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A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9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E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6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9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3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21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32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4E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DB7543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7F723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B754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54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54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54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5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5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543"/>
    <w:rPr>
      <w:b/>
      <w:bCs/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B754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54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543"/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B7543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1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  <w:shd w:val="clear" w:color="auto" w:fill="FFF1C1" w:themeFill="accent1" w:themeFillTint="3F"/>
      </w:tcPr>
    </w:tblStylePr>
    <w:tblStylePr w:type="band2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1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  <w:shd w:val="clear" w:color="auto" w:fill="FDE4C7" w:themeFill="accent2" w:themeFillTint="3F"/>
      </w:tcPr>
    </w:tblStylePr>
    <w:tblStylePr w:type="band2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1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  <w:shd w:val="clear" w:color="auto" w:fill="F3E2CF" w:themeFill="accent3" w:themeFillTint="3F"/>
      </w:tcPr>
    </w:tblStylePr>
    <w:tblStylePr w:type="band2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1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  <w:shd w:val="clear" w:color="auto" w:fill="FADBC5" w:themeFill="accent4" w:themeFillTint="3F"/>
      </w:tcPr>
    </w:tblStylePr>
    <w:tblStylePr w:type="band2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1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  <w:shd w:val="clear" w:color="auto" w:fill="F8D1C8" w:themeFill="accent5" w:themeFillTint="3F"/>
      </w:tcPr>
    </w:tblStylePr>
    <w:tblStylePr w:type="band2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1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  <w:shd w:val="clear" w:color="auto" w:fill="E6DADA" w:themeFill="accent6" w:themeFillTint="3F"/>
      </w:tcPr>
    </w:tblStylePr>
    <w:tblStylePr w:type="band2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  <w:insideV w:val="single" w:sz="8" w:space="0" w:color="FFD745" w:themeColor="accent1" w:themeTint="BF"/>
      </w:tblBorders>
    </w:tblPr>
    <w:tcPr>
      <w:shd w:val="clear" w:color="auto" w:fill="FFF1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  <w:insideV w:val="single" w:sz="8" w:space="0" w:color="F9AD55" w:themeColor="accent2" w:themeTint="BF"/>
      </w:tblBorders>
    </w:tblPr>
    <w:tcPr>
      <w:shd w:val="clear" w:color="auto" w:fill="FDE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  <w:insideV w:val="single" w:sz="8" w:space="0" w:color="DAA96E" w:themeColor="accent3" w:themeTint="BF"/>
      </w:tblBorders>
    </w:tblPr>
    <w:tcPr>
      <w:shd w:val="clear" w:color="auto" w:fill="F3E2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A9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  <w:insideV w:val="single" w:sz="8" w:space="0" w:color="F09350" w:themeColor="accent4" w:themeTint="BF"/>
      </w:tblBorders>
    </w:tblPr>
    <w:tcPr>
      <w:shd w:val="clear" w:color="auto" w:fill="FADB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3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  <w:insideV w:val="single" w:sz="8" w:space="0" w:color="EC755A" w:themeColor="accent5" w:themeTint="BF"/>
      </w:tblBorders>
    </w:tblPr>
    <w:tcPr>
      <w:shd w:val="clear" w:color="auto" w:fill="F8D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75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  <w:insideV w:val="single" w:sz="8" w:space="0" w:color="B48F8F" w:themeColor="accent6" w:themeTint="BF"/>
      </w:tblBorders>
    </w:tblPr>
    <w:tcPr>
      <w:shd w:val="clear" w:color="auto" w:fill="E6DA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8F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cPr>
      <w:shd w:val="clear" w:color="auto" w:fill="FFF1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1" w:themeFillTint="33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tcBorders>
          <w:insideH w:val="single" w:sz="6" w:space="0" w:color="FFCA08" w:themeColor="accent1"/>
          <w:insideV w:val="single" w:sz="6" w:space="0" w:color="FFCA08" w:themeColor="accent1"/>
        </w:tcBorders>
        <w:shd w:val="clear" w:color="auto" w:fill="FFE4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cPr>
      <w:shd w:val="clear" w:color="auto" w:fill="FDE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2" w:themeFillTint="33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tcBorders>
          <w:insideH w:val="single" w:sz="6" w:space="0" w:color="F8931D" w:themeColor="accent2"/>
          <w:insideV w:val="single" w:sz="6" w:space="0" w:color="F8931D" w:themeColor="accent2"/>
        </w:tcBorders>
        <w:shd w:val="clear" w:color="auto" w:fill="FBC8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cPr>
      <w:shd w:val="clear" w:color="auto" w:fill="F3E2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D8" w:themeFill="accent3" w:themeFillTint="33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tcBorders>
          <w:insideH w:val="single" w:sz="6" w:space="0" w:color="CE8D3E" w:themeColor="accent3"/>
          <w:insideV w:val="single" w:sz="6" w:space="0" w:color="CE8D3E" w:themeColor="accent3"/>
        </w:tcBorders>
        <w:shd w:val="clear" w:color="auto" w:fill="E6C5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cPr>
      <w:shd w:val="clear" w:color="auto" w:fill="FADB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4" w:themeFillTint="33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tcBorders>
          <w:insideH w:val="single" w:sz="6" w:space="0" w:color="EC7016" w:themeColor="accent4"/>
          <w:insideV w:val="single" w:sz="6" w:space="0" w:color="EC7016" w:themeColor="accent4"/>
        </w:tcBorders>
        <w:shd w:val="clear" w:color="auto" w:fill="F5B7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cPr>
      <w:shd w:val="clear" w:color="auto" w:fill="F8D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3" w:themeFill="accent5" w:themeFillTint="33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tcBorders>
          <w:insideH w:val="single" w:sz="6" w:space="0" w:color="E64823" w:themeColor="accent5"/>
          <w:insideV w:val="single" w:sz="6" w:space="0" w:color="E64823" w:themeColor="accent5"/>
        </w:tcBorders>
        <w:shd w:val="clear" w:color="auto" w:fill="F2A3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cPr>
      <w:shd w:val="clear" w:color="auto" w:fill="E6DA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E1" w:themeFill="accent6" w:themeFillTint="33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tcBorders>
          <w:insideH w:val="single" w:sz="6" w:space="0" w:color="9C6A6A" w:themeColor="accent6"/>
          <w:insideV w:val="single" w:sz="6" w:space="0" w:color="9C6A6A" w:themeColor="accent6"/>
        </w:tcBorders>
        <w:shd w:val="clear" w:color="auto" w:fill="CDB4B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3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2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C5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C59E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8A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3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391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4B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4B4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08" w:themeColor="accen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shd w:val="clear" w:color="auto" w:fill="FFF1C1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31D" w:themeColor="accent2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shd w:val="clear" w:color="auto" w:fill="FDE4C7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8D3E" w:themeColor="accent3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shd w:val="clear" w:color="auto" w:fill="F3E2CF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016" w:themeColor="accent4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shd w:val="clear" w:color="auto" w:fill="FADBC5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823" w:themeColor="accent5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shd w:val="clear" w:color="auto" w:fill="F8D1C8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6A6A" w:themeColor="accent6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shd w:val="clear" w:color="auto" w:fill="E6DADA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A0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931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3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3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8D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8D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8D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2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01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01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01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8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8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8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6A6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6A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6A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2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DB754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543"/>
    <w:pPr>
      <w:numPr>
        <w:ilvl w:val="1"/>
      </w:numPr>
      <w:jc w:val="center"/>
    </w:pPr>
    <w:rPr>
      <w:color w:val="39302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543"/>
    <w:rPr>
      <w:color w:val="39302A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754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B754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B7543"/>
    <w:pPr>
      <w:pBdr>
        <w:top w:val="single" w:sz="6" w:space="8" w:color="CE8D3E" w:themeColor="accent3"/>
        <w:bottom w:val="single" w:sz="6" w:space="8" w:color="CE8D3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543"/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DB75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TableHeading">
    <w:name w:val="Table Heading"/>
    <w:basedOn w:val="Normal"/>
    <w:uiPriority w:val="1"/>
    <w:pPr>
      <w:keepNext/>
      <w:pBdr>
        <w:top w:val="single" w:sz="4" w:space="1" w:color="FFCA08" w:themeColor="accent1"/>
        <w:left w:val="single" w:sz="4" w:space="6" w:color="FFCA08" w:themeColor="accent1"/>
        <w:bottom w:val="single" w:sz="4" w:space="1" w:color="FFCA08" w:themeColor="accent1"/>
        <w:right w:val="single" w:sz="4" w:space="6" w:color="FFCA08" w:themeColor="accent1"/>
      </w:pBdr>
      <w:shd w:val="clear" w:color="auto" w:fill="FFCA08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FFCA08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6"/>
      </w:numPr>
    </w:pPr>
  </w:style>
  <w:style w:type="paragraph" w:customStyle="1" w:styleId="Abstract">
    <w:name w:val="Abstract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Normal"/>
    <w:uiPriority w:val="19"/>
    <w:pPr>
      <w:pBdr>
        <w:top w:val="single" w:sz="2" w:space="2" w:color="FFCA08" w:themeColor="accent1"/>
        <w:left w:val="single" w:sz="2" w:space="6" w:color="FFCA08" w:themeColor="accent1"/>
        <w:bottom w:val="single" w:sz="2" w:space="2" w:color="FFCA08" w:themeColor="accent1"/>
        <w:right w:val="single" w:sz="2" w:space="6" w:color="FFCA08" w:themeColor="accent1"/>
      </w:pBdr>
      <w:shd w:val="clear" w:color="auto" w:fill="FFCA08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table" w:customStyle="1" w:styleId="TableGridLight1">
    <w:name w:val="Table Grid Light1"/>
    <w:basedOn w:val="TableNormal"/>
    <w:uiPriority w:val="45"/>
    <w:rsid w:val="00E71C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port.dotx" TargetMode="External"/></Relationships>
</file>

<file path=word/theme/theme1.xml><?xml version="1.0" encoding="utf-8"?>
<a:theme xmlns:a="http://schemas.openxmlformats.org/drawingml/2006/main" name="Annual Report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18917747</PublishDate>
  <Abstract>Definition of the CLER from the notes or email template</Abstract>
  <CompanyAddress>23 Church Street, Prince Albert</CompanyAddress>
  <CompanyPhone>023-5411 036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80AF9-5247-4F7E-9780-038327ED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TimelessReport.dotx</Template>
  <TotalTime>0</TotalTime>
  <Pages>7</Pages>
  <Words>1087</Words>
  <Characters>6198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LEADERSHIP EVENT REVIEWS</vt:lpstr>
    </vt:vector>
  </TitlesOfParts>
  <Company>Prince Albert Municipality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LEADERSHIP EVENT REVIEWS</dc:title>
  <dc:creator>Frans Sabbat</dc:creator>
  <cp:keywords>www.pamun.gov.za</cp:keywords>
  <cp:lastModifiedBy>Tanya Carelse</cp:lastModifiedBy>
  <cp:revision>2</cp:revision>
  <cp:lastPrinted>2015-03-30T15:17:00Z</cp:lastPrinted>
  <dcterms:created xsi:type="dcterms:W3CDTF">2017-03-14T11:57:00Z</dcterms:created>
  <dcterms:modified xsi:type="dcterms:W3CDTF">2017-03-14T11:57:00Z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